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ind w:firstLine="1080"/>
        <w:jc w:val="center"/>
        <w:rPr>
          <w:rFonts w:ascii="宋体" w:hAnsi="宋体" w:cs="宋体"/>
          <w:spacing w:val="10"/>
          <w:sz w:val="28"/>
          <w:szCs w:val="28"/>
        </w:rPr>
      </w:pPr>
      <w:r>
        <w:rPr>
          <w:rFonts w:hint="eastAsia" w:ascii="宋体" w:hAnsi="宋体" w:cs="宋体"/>
          <w:spacing w:val="10"/>
          <w:sz w:val="28"/>
          <w:szCs w:val="28"/>
        </w:rPr>
        <w:t xml:space="preserve"> </w:t>
      </w:r>
    </w:p>
    <w:p>
      <w:pPr>
        <w:spacing w:line="620" w:lineRule="exact"/>
        <w:ind w:firstLine="1080"/>
        <w:jc w:val="center"/>
        <w:rPr>
          <w:rFonts w:ascii="宋体" w:hAnsi="宋体" w:cs="宋体"/>
          <w:spacing w:val="10"/>
          <w:sz w:val="28"/>
          <w:szCs w:val="28"/>
        </w:rPr>
      </w:pPr>
    </w:p>
    <w:p>
      <w:pPr>
        <w:rPr>
          <w:rFonts w:ascii="黑体" w:hAnsi="黑体" w:eastAsia="黑体" w:cs="黑体"/>
          <w:sz w:val="84"/>
          <w:szCs w:val="84"/>
        </w:rPr>
      </w:pPr>
    </w:p>
    <w:p>
      <w:pPr>
        <w:jc w:val="center"/>
        <w:rPr>
          <w:rFonts w:ascii="宋体" w:hAnsi="宋体" w:cs="宋体"/>
          <w:sz w:val="84"/>
          <w:szCs w:val="84"/>
        </w:rPr>
      </w:pPr>
      <w:r>
        <w:rPr>
          <w:rFonts w:hint="eastAsia" w:ascii="黑体" w:hAnsi="黑体" w:eastAsia="黑体" w:cs="黑体"/>
          <w:sz w:val="84"/>
          <w:szCs w:val="84"/>
        </w:rPr>
        <w:t xml:space="preserve"> </w:t>
      </w:r>
      <w:r>
        <w:rPr>
          <w:rFonts w:hint="eastAsia" w:ascii="宋体" w:hAnsi="宋体" w:cs="宋体"/>
          <w:sz w:val="84"/>
          <w:szCs w:val="84"/>
        </w:rPr>
        <w:t>招标文件</w:t>
      </w:r>
    </w:p>
    <w:p>
      <w:pPr>
        <w:spacing w:line="620" w:lineRule="exact"/>
        <w:ind w:firstLine="460"/>
        <w:jc w:val="center"/>
        <w:rPr>
          <w:rFonts w:ascii="宋体" w:hAnsi="宋体" w:cs="宋体"/>
          <w:spacing w:val="10"/>
          <w:sz w:val="28"/>
          <w:szCs w:val="28"/>
        </w:rPr>
      </w:pPr>
    </w:p>
    <w:p>
      <w:pPr>
        <w:spacing w:line="620" w:lineRule="exact"/>
        <w:ind w:firstLine="462"/>
        <w:jc w:val="center"/>
        <w:rPr>
          <w:rFonts w:ascii="宋体" w:hAnsi="宋体" w:cs="宋体"/>
          <w:b/>
          <w:spacing w:val="10"/>
          <w:sz w:val="28"/>
          <w:szCs w:val="28"/>
        </w:rPr>
      </w:pPr>
      <w:bookmarkStart w:id="3" w:name="_GoBack"/>
      <w:r>
        <w:rPr>
          <w:rFonts w:hint="eastAsia" w:ascii="宋体" w:hAnsi="宋体" w:cs="宋体"/>
          <w:b/>
          <w:spacing w:val="10"/>
          <w:sz w:val="28"/>
          <w:szCs w:val="28"/>
        </w:rPr>
        <w:drawing>
          <wp:anchor distT="0" distB="0" distL="114300" distR="114300" simplePos="0" relativeHeight="251659264" behindDoc="1" locked="0" layoutInCell="1" allowOverlap="1">
            <wp:simplePos x="0" y="0"/>
            <wp:positionH relativeFrom="column">
              <wp:posOffset>2543810</wp:posOffset>
            </wp:positionH>
            <wp:positionV relativeFrom="paragraph">
              <wp:posOffset>118110</wp:posOffset>
            </wp:positionV>
            <wp:extent cx="1341120" cy="1328420"/>
            <wp:effectExtent l="0" t="0" r="11430" b="5080"/>
            <wp:wrapNone/>
            <wp:docPr id="1" name="图片 4" descr="15259975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1525997506(1)"/>
                    <pic:cNvPicPr>
                      <a:picLocks noChangeAspect="1"/>
                    </pic:cNvPicPr>
                  </pic:nvPicPr>
                  <pic:blipFill>
                    <a:blip r:embed="rId5"/>
                    <a:stretch>
                      <a:fillRect/>
                    </a:stretch>
                  </pic:blipFill>
                  <pic:spPr>
                    <a:xfrm>
                      <a:off x="0" y="0"/>
                      <a:ext cx="1341120" cy="1328420"/>
                    </a:xfrm>
                    <a:prstGeom prst="rect">
                      <a:avLst/>
                    </a:prstGeom>
                    <a:noFill/>
                    <a:ln>
                      <a:noFill/>
                    </a:ln>
                  </pic:spPr>
                </pic:pic>
              </a:graphicData>
            </a:graphic>
          </wp:anchor>
        </w:drawing>
      </w:r>
      <w:bookmarkEnd w:id="3"/>
    </w:p>
    <w:p>
      <w:pPr>
        <w:spacing w:line="620" w:lineRule="exact"/>
        <w:ind w:firstLine="462"/>
        <w:jc w:val="center"/>
        <w:rPr>
          <w:rFonts w:ascii="宋体" w:hAnsi="宋体" w:cs="宋体"/>
          <w:b/>
          <w:spacing w:val="10"/>
          <w:sz w:val="28"/>
          <w:szCs w:val="28"/>
        </w:rPr>
      </w:pPr>
    </w:p>
    <w:p>
      <w:pPr>
        <w:spacing w:line="620" w:lineRule="exact"/>
        <w:ind w:firstLine="683"/>
        <w:jc w:val="center"/>
        <w:rPr>
          <w:rFonts w:ascii="宋体" w:hAnsi="宋体" w:cs="宋体"/>
          <w:b/>
          <w:spacing w:val="10"/>
          <w:sz w:val="28"/>
          <w:szCs w:val="28"/>
        </w:rPr>
      </w:pPr>
    </w:p>
    <w:p>
      <w:pPr>
        <w:spacing w:line="620" w:lineRule="exact"/>
        <w:rPr>
          <w:rFonts w:ascii="宋体" w:hAnsi="宋体" w:cs="宋体"/>
          <w:spacing w:val="10"/>
          <w:sz w:val="28"/>
          <w:szCs w:val="28"/>
        </w:rPr>
      </w:pPr>
      <w:r>
        <w:rPr>
          <w:rFonts w:hint="eastAsia" w:ascii="宋体" w:hAnsi="宋体" w:cs="宋体"/>
          <w:spacing w:val="10"/>
          <w:sz w:val="28"/>
          <w:szCs w:val="28"/>
        </w:rPr>
        <w:t xml:space="preserve">        </w:t>
      </w:r>
    </w:p>
    <w:p>
      <w:pPr>
        <w:spacing w:line="620" w:lineRule="exact"/>
        <w:rPr>
          <w:rFonts w:ascii="宋体" w:hAnsi="宋体" w:cs="宋体"/>
          <w:spacing w:val="10"/>
          <w:sz w:val="28"/>
          <w:szCs w:val="28"/>
        </w:rPr>
      </w:pPr>
      <w:r>
        <w:rPr>
          <w:rFonts w:hint="eastAsia" w:ascii="宋体" w:hAnsi="宋体" w:cs="宋体"/>
          <w:spacing w:val="10"/>
          <w:sz w:val="28"/>
          <w:szCs w:val="28"/>
        </w:rPr>
        <w:t xml:space="preserve">       </w:t>
      </w:r>
    </w:p>
    <w:p>
      <w:pPr>
        <w:spacing w:line="620" w:lineRule="exact"/>
        <w:rPr>
          <w:rFonts w:ascii="宋体" w:hAnsi="宋体" w:cs="宋体"/>
          <w:spacing w:val="10"/>
          <w:sz w:val="28"/>
          <w:szCs w:val="28"/>
        </w:rPr>
      </w:pPr>
    </w:p>
    <w:p>
      <w:pPr>
        <w:spacing w:line="620" w:lineRule="exact"/>
        <w:rPr>
          <w:rFonts w:ascii="仿宋" w:hAnsi="仿宋" w:eastAsia="仿宋" w:cs="仿宋"/>
          <w:b/>
          <w:bCs/>
          <w:sz w:val="36"/>
          <w:szCs w:val="36"/>
        </w:rPr>
      </w:pPr>
      <w:r>
        <w:rPr>
          <w:rFonts w:hint="eastAsia" w:ascii="宋体" w:hAnsi="宋体" w:cs="宋体"/>
          <w:b/>
          <w:bCs/>
          <w:spacing w:val="10"/>
          <w:sz w:val="36"/>
          <w:szCs w:val="36"/>
        </w:rPr>
        <w:t>项目名称：</w:t>
      </w:r>
      <w:bookmarkStart w:id="0" w:name="OLE_LINK1"/>
      <w:r>
        <w:rPr>
          <w:rFonts w:hint="eastAsia" w:ascii="宋体" w:hAnsi="宋体" w:cs="宋体"/>
          <w:b/>
          <w:bCs/>
          <w:spacing w:val="10"/>
          <w:sz w:val="36"/>
          <w:szCs w:val="36"/>
          <w:lang w:val="en-US" w:eastAsia="zh-CN"/>
        </w:rPr>
        <w:t xml:space="preserve">   </w:t>
      </w:r>
      <w:r>
        <w:rPr>
          <w:rFonts w:hint="eastAsia" w:ascii="宋体" w:hAnsi="宋体" w:cs="宋体"/>
          <w:b/>
          <w:bCs/>
          <w:spacing w:val="10"/>
          <w:sz w:val="36"/>
          <w:szCs w:val="36"/>
          <w:lang w:eastAsia="zh-CN"/>
        </w:rPr>
        <w:t>能源审计</w:t>
      </w:r>
      <w:r>
        <w:rPr>
          <w:rFonts w:hint="eastAsia" w:ascii="仿宋" w:hAnsi="仿宋" w:eastAsia="仿宋" w:cs="仿宋"/>
          <w:b/>
          <w:bCs/>
          <w:sz w:val="36"/>
          <w:szCs w:val="36"/>
        </w:rPr>
        <w:t xml:space="preserve"> </w:t>
      </w:r>
    </w:p>
    <w:bookmarkEnd w:id="0"/>
    <w:p>
      <w:pPr>
        <w:spacing w:line="620" w:lineRule="exact"/>
        <w:rPr>
          <w:rFonts w:ascii="宋体" w:hAnsi="宋体" w:cs="宋体"/>
          <w:b/>
          <w:bCs/>
          <w:spacing w:val="10"/>
          <w:sz w:val="36"/>
          <w:szCs w:val="36"/>
        </w:rPr>
      </w:pPr>
    </w:p>
    <w:p>
      <w:pPr>
        <w:spacing w:line="620" w:lineRule="exact"/>
        <w:rPr>
          <w:rFonts w:ascii="宋体" w:hAnsi="宋体" w:cs="宋体"/>
          <w:b/>
          <w:bCs/>
          <w:spacing w:val="10"/>
          <w:sz w:val="36"/>
          <w:szCs w:val="36"/>
        </w:rPr>
      </w:pPr>
      <w:r>
        <w:rPr>
          <w:rFonts w:hint="eastAsia" w:ascii="宋体" w:hAnsi="宋体" w:cs="宋体"/>
          <w:b/>
          <w:bCs/>
          <w:spacing w:val="10"/>
          <w:sz w:val="36"/>
          <w:szCs w:val="36"/>
        </w:rPr>
        <w:t>招标单位：   山东</w:t>
      </w:r>
      <w:r>
        <w:rPr>
          <w:rFonts w:hint="eastAsia" w:ascii="宋体" w:hAnsi="宋体" w:cs="宋体"/>
          <w:b/>
          <w:bCs/>
          <w:spacing w:val="10"/>
          <w:sz w:val="36"/>
          <w:szCs w:val="36"/>
          <w:lang w:eastAsia="zh-CN"/>
        </w:rPr>
        <w:t>金宝电子有限公司</w:t>
      </w:r>
    </w:p>
    <w:p>
      <w:pPr>
        <w:spacing w:line="620" w:lineRule="exact"/>
        <w:jc w:val="left"/>
        <w:rPr>
          <w:rFonts w:ascii="宋体" w:hAnsi="宋体" w:cs="宋体"/>
          <w:spacing w:val="10"/>
          <w:sz w:val="28"/>
          <w:szCs w:val="28"/>
        </w:rPr>
      </w:pPr>
    </w:p>
    <w:p>
      <w:pPr>
        <w:spacing w:line="620" w:lineRule="exact"/>
        <w:jc w:val="left"/>
        <w:rPr>
          <w:rFonts w:ascii="宋体" w:hAnsi="宋体" w:cs="宋体"/>
          <w:spacing w:val="10"/>
          <w:sz w:val="28"/>
          <w:szCs w:val="28"/>
        </w:rPr>
      </w:pPr>
    </w:p>
    <w:p>
      <w:pPr>
        <w:spacing w:line="620" w:lineRule="exact"/>
        <w:jc w:val="center"/>
        <w:rPr>
          <w:rFonts w:ascii="宋体" w:hAnsi="宋体" w:cs="宋体"/>
          <w:spacing w:val="10"/>
          <w:sz w:val="28"/>
          <w:szCs w:val="28"/>
        </w:rPr>
      </w:pPr>
      <w:r>
        <w:rPr>
          <w:rFonts w:hint="eastAsia" w:ascii="宋体" w:hAnsi="宋体" w:cs="宋体"/>
          <w:spacing w:val="10"/>
          <w:sz w:val="28"/>
          <w:szCs w:val="28"/>
        </w:rPr>
        <w:t>2025年</w:t>
      </w:r>
      <w:r>
        <w:rPr>
          <w:rFonts w:hint="eastAsia" w:ascii="宋体" w:hAnsi="宋体" w:cs="宋体"/>
          <w:spacing w:val="10"/>
          <w:sz w:val="28"/>
          <w:szCs w:val="28"/>
          <w:lang w:val="en-US" w:eastAsia="zh-CN"/>
        </w:rPr>
        <w:t>7</w:t>
      </w:r>
      <w:r>
        <w:rPr>
          <w:rFonts w:hint="eastAsia" w:ascii="宋体" w:hAnsi="宋体" w:cs="宋体"/>
          <w:spacing w:val="10"/>
          <w:sz w:val="28"/>
          <w:szCs w:val="28"/>
        </w:rPr>
        <w:t>月</w:t>
      </w:r>
      <w:r>
        <w:rPr>
          <w:rFonts w:hint="eastAsia" w:ascii="宋体" w:hAnsi="宋体" w:cs="宋体"/>
          <w:spacing w:val="10"/>
          <w:sz w:val="28"/>
          <w:szCs w:val="28"/>
          <w:lang w:val="en-US" w:eastAsia="zh-CN"/>
        </w:rPr>
        <w:t>30</w:t>
      </w:r>
      <w:r>
        <w:rPr>
          <w:rFonts w:hint="eastAsia" w:ascii="宋体" w:hAnsi="宋体" w:cs="宋体"/>
          <w:spacing w:val="10"/>
          <w:sz w:val="28"/>
          <w:szCs w:val="28"/>
        </w:rPr>
        <w:t>日</w:t>
      </w:r>
    </w:p>
    <w:p>
      <w:pPr>
        <w:spacing w:line="620" w:lineRule="exact"/>
        <w:ind w:firstLine="3900" w:firstLineChars="1300"/>
        <w:jc w:val="left"/>
        <w:rPr>
          <w:rFonts w:ascii="宋体" w:hAnsi="宋体" w:cs="宋体"/>
          <w:spacing w:val="10"/>
          <w:sz w:val="28"/>
          <w:szCs w:val="28"/>
        </w:rPr>
      </w:pPr>
    </w:p>
    <w:p>
      <w:pPr>
        <w:spacing w:line="620" w:lineRule="exact"/>
        <w:rPr>
          <w:rFonts w:ascii="黑体" w:hAnsi="黑体" w:eastAsia="黑体" w:cs="黑体"/>
          <w:sz w:val="44"/>
          <w:szCs w:val="44"/>
        </w:rPr>
      </w:pPr>
    </w:p>
    <w:p>
      <w:pPr>
        <w:pStyle w:val="14"/>
        <w:ind w:firstLine="640"/>
      </w:pPr>
    </w:p>
    <w:p>
      <w:pPr>
        <w:spacing w:line="620" w:lineRule="exact"/>
        <w:jc w:val="cente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第一部分  投标邀请书</w:t>
      </w:r>
    </w:p>
    <w:p>
      <w:pPr>
        <w:spacing w:line="62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山东</w:t>
      </w:r>
      <w:r>
        <w:rPr>
          <w:rFonts w:hint="eastAsia" w:asciiTheme="minorEastAsia" w:hAnsiTheme="minorEastAsia" w:eastAsiaTheme="minorEastAsia" w:cstheme="minorEastAsia"/>
          <w:sz w:val="28"/>
          <w:szCs w:val="28"/>
          <w:lang w:eastAsia="zh-CN"/>
        </w:rPr>
        <w:t>金宝电子</w:t>
      </w:r>
      <w:r>
        <w:rPr>
          <w:rFonts w:hint="eastAsia" w:asciiTheme="minorEastAsia" w:hAnsiTheme="minorEastAsia" w:eastAsiaTheme="minorEastAsia" w:cstheme="minorEastAsia"/>
          <w:sz w:val="28"/>
          <w:szCs w:val="28"/>
        </w:rPr>
        <w:t>限公司现就</w:t>
      </w:r>
      <w:r>
        <w:rPr>
          <w:rFonts w:hint="eastAsia" w:asciiTheme="minorEastAsia" w:hAnsiTheme="minorEastAsia" w:eastAsiaTheme="minorEastAsia" w:cstheme="minorEastAsia"/>
          <w:spacing w:val="10"/>
          <w:sz w:val="28"/>
          <w:szCs w:val="28"/>
          <w:u w:val="single"/>
        </w:rPr>
        <w:t>“</w:t>
      </w:r>
      <w:r>
        <w:rPr>
          <w:rFonts w:hint="eastAsia" w:asciiTheme="minorEastAsia" w:hAnsiTheme="minorEastAsia" w:eastAsiaTheme="minorEastAsia" w:cstheme="minorEastAsia"/>
          <w:spacing w:val="10"/>
          <w:sz w:val="28"/>
          <w:szCs w:val="28"/>
          <w:u w:val="single"/>
          <w:lang w:eastAsia="zh-CN"/>
        </w:rPr>
        <w:t>能源审计</w:t>
      </w:r>
      <w:r>
        <w:rPr>
          <w:rFonts w:hint="eastAsia" w:asciiTheme="minorEastAsia" w:hAnsiTheme="minorEastAsia" w:eastAsiaTheme="minorEastAsia" w:cstheme="minorEastAsia"/>
          <w:sz w:val="28"/>
          <w:szCs w:val="28"/>
          <w:u w:val="single"/>
        </w:rPr>
        <w:t>”</w:t>
      </w:r>
      <w:r>
        <w:rPr>
          <w:rFonts w:hint="eastAsia" w:asciiTheme="minorEastAsia" w:hAnsiTheme="minorEastAsia" w:eastAsiaTheme="minorEastAsia" w:cstheme="minorEastAsia"/>
          <w:sz w:val="28"/>
          <w:szCs w:val="28"/>
        </w:rPr>
        <w:t>进行招标采购，我公司本着公平、公正、公开的原则，邀请具有相关资质及履约能力的公司参加投标，具体事项如下：</w:t>
      </w:r>
    </w:p>
    <w:p>
      <w:pPr>
        <w:spacing w:line="620" w:lineRule="exact"/>
        <w:ind w:right="70"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一、招标人：山东</w:t>
      </w:r>
      <w:r>
        <w:rPr>
          <w:rFonts w:hint="eastAsia" w:asciiTheme="minorEastAsia" w:hAnsiTheme="minorEastAsia" w:eastAsiaTheme="minorEastAsia" w:cstheme="minorEastAsia"/>
          <w:sz w:val="28"/>
          <w:szCs w:val="28"/>
          <w:lang w:eastAsia="zh-CN"/>
        </w:rPr>
        <w:t>金宝电子</w:t>
      </w:r>
      <w:r>
        <w:rPr>
          <w:rFonts w:hint="eastAsia" w:asciiTheme="minorEastAsia" w:hAnsiTheme="minorEastAsia" w:eastAsiaTheme="minorEastAsia" w:cstheme="minorEastAsia"/>
          <w:sz w:val="28"/>
          <w:szCs w:val="28"/>
        </w:rPr>
        <w:t>有限公司</w:t>
      </w:r>
    </w:p>
    <w:p>
      <w:pPr>
        <w:spacing w:line="620" w:lineRule="exact"/>
        <w:ind w:right="70"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二、项目名称：</w:t>
      </w:r>
      <w:r>
        <w:rPr>
          <w:rFonts w:hint="eastAsia" w:asciiTheme="minorEastAsia" w:hAnsiTheme="minorEastAsia" w:eastAsiaTheme="minorEastAsia" w:cstheme="minorEastAsia"/>
          <w:spacing w:val="10"/>
          <w:sz w:val="28"/>
          <w:szCs w:val="28"/>
          <w:u w:val="single"/>
          <w:lang w:eastAsia="zh-CN"/>
        </w:rPr>
        <w:t>能源审计</w:t>
      </w:r>
      <w:r>
        <w:rPr>
          <w:rFonts w:hint="eastAsia" w:asciiTheme="minorEastAsia" w:hAnsiTheme="minorEastAsia" w:eastAsiaTheme="minorEastAsia" w:cstheme="minorEastAsia"/>
          <w:sz w:val="28"/>
          <w:szCs w:val="28"/>
          <w:u w:val="single"/>
        </w:rPr>
        <w:t xml:space="preserve"> </w:t>
      </w:r>
    </w:p>
    <w:p>
      <w:pPr>
        <w:spacing w:line="62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三、投标时间：</w:t>
      </w:r>
    </w:p>
    <w:p>
      <w:pPr>
        <w:spacing w:line="360" w:lineRule="auto"/>
        <w:ind w:firstLine="1120" w:firstLineChars="4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技术投标截止时间： 2025.</w:t>
      </w:r>
      <w:r>
        <w:rPr>
          <w:rFonts w:hint="eastAsia" w:asciiTheme="minorEastAsia" w:hAnsiTheme="minorEastAsia" w:eastAsiaTheme="minorEastAsia" w:cstheme="minorEastAsia"/>
          <w:sz w:val="28"/>
          <w:szCs w:val="28"/>
          <w:lang w:val="en-US" w:eastAsia="zh-CN"/>
        </w:rPr>
        <w:t>08</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06</w:t>
      </w:r>
    </w:p>
    <w:p>
      <w:pPr>
        <w:spacing w:line="360" w:lineRule="auto"/>
        <w:ind w:firstLine="1120" w:firstLineChars="4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商务投标截止时间： 2025.</w:t>
      </w:r>
      <w:r>
        <w:rPr>
          <w:rFonts w:hint="eastAsia" w:asciiTheme="minorEastAsia" w:hAnsiTheme="minorEastAsia" w:eastAsiaTheme="minorEastAsia" w:cstheme="minorEastAsia"/>
          <w:sz w:val="28"/>
          <w:szCs w:val="28"/>
          <w:lang w:val="en-US" w:eastAsia="zh-CN"/>
        </w:rPr>
        <w:t>08</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08</w:t>
      </w:r>
    </w:p>
    <w:p>
      <w:pPr>
        <w:spacing w:line="360" w:lineRule="auto"/>
        <w:ind w:right="70"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四、技术联系人： 赵金波</w:t>
      </w:r>
    </w:p>
    <w:p>
      <w:pPr>
        <w:tabs>
          <w:tab w:val="left" w:pos="6191"/>
        </w:tabs>
        <w:spacing w:line="360" w:lineRule="auto"/>
        <w:ind w:right="70" w:firstLine="1120" w:firstLineChars="4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联系方式： 13153532152  </w:t>
      </w:r>
    </w:p>
    <w:p>
      <w:pPr>
        <w:spacing w:line="360" w:lineRule="auto"/>
        <w:ind w:right="70" w:firstLine="1120" w:firstLineChars="4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邮    箱：13153532152@163.com</w:t>
      </w:r>
    </w:p>
    <w:p>
      <w:pPr>
        <w:spacing w:line="620" w:lineRule="exact"/>
        <w:ind w:right="70"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五、商务联系人：</w:t>
      </w:r>
      <w:r>
        <w:rPr>
          <w:rFonts w:hint="eastAsia" w:asciiTheme="minorEastAsia" w:hAnsiTheme="minorEastAsia" w:eastAsiaTheme="minorEastAsia" w:cstheme="minorEastAsia"/>
          <w:sz w:val="28"/>
          <w:szCs w:val="28"/>
          <w:lang w:val="en-US" w:eastAsia="zh-CN"/>
        </w:rPr>
        <w:t>王建清</w:t>
      </w:r>
    </w:p>
    <w:p>
      <w:pPr>
        <w:spacing w:line="620" w:lineRule="exact"/>
        <w:ind w:right="70"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 xml:space="preserve">     联系电话：</w:t>
      </w:r>
      <w:r>
        <w:rPr>
          <w:rFonts w:hint="eastAsia" w:asciiTheme="minorEastAsia" w:hAnsiTheme="minorEastAsia" w:eastAsiaTheme="minorEastAsia" w:cstheme="minorEastAsia"/>
          <w:sz w:val="28"/>
          <w:szCs w:val="28"/>
          <w:lang w:val="en-US" w:eastAsia="zh-CN"/>
        </w:rPr>
        <w:t>18105355840</w:t>
      </w:r>
    </w:p>
    <w:p>
      <w:pPr>
        <w:spacing w:line="620" w:lineRule="exact"/>
        <w:ind w:right="70"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报价邮箱：jinbaoxb@chinajinbao.com</w:t>
      </w:r>
    </w:p>
    <w:p>
      <w:pPr>
        <w:spacing w:line="620" w:lineRule="exact"/>
        <w:ind w:right="70"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六、投标地点：山东省招远市国大路268号 </w:t>
      </w:r>
    </w:p>
    <w:p>
      <w:pPr>
        <w:spacing w:line="620" w:lineRule="exact"/>
        <w:ind w:right="70"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七、投标保证金:</w:t>
      </w:r>
      <w:r>
        <w:rPr>
          <w:rFonts w:hint="eastAsia" w:asciiTheme="minorEastAsia" w:hAnsiTheme="minorEastAsia" w:eastAsiaTheme="minorEastAsia" w:cstheme="minorEastAsia"/>
          <w:sz w:val="28"/>
          <w:szCs w:val="28"/>
          <w:lang w:val="en-US" w:eastAsia="zh-CN"/>
        </w:rPr>
        <w:t>3000</w:t>
      </w:r>
      <w:r>
        <w:rPr>
          <w:rFonts w:hint="eastAsia" w:asciiTheme="minorEastAsia" w:hAnsiTheme="minorEastAsia" w:eastAsiaTheme="minorEastAsia" w:cstheme="minorEastAsia"/>
          <w:sz w:val="28"/>
          <w:szCs w:val="28"/>
        </w:rPr>
        <w:t>元</w:t>
      </w:r>
    </w:p>
    <w:p>
      <w:pPr>
        <w:spacing w:line="620" w:lineRule="exact"/>
        <w:ind w:right="70"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请于2025年</w:t>
      </w:r>
      <w:r>
        <w:rPr>
          <w:rFonts w:hint="eastAsia" w:asciiTheme="minorEastAsia" w:hAnsiTheme="minorEastAsia" w:eastAsiaTheme="minorEastAsia" w:cstheme="minorEastAsia"/>
          <w:sz w:val="28"/>
          <w:szCs w:val="28"/>
          <w:u w:val="single"/>
          <w:lang w:val="en-US" w:eastAsia="zh-CN"/>
        </w:rPr>
        <w:t>8</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lang w:val="en-US" w:eastAsia="zh-CN"/>
        </w:rPr>
        <w:t>7</w:t>
      </w:r>
      <w:r>
        <w:rPr>
          <w:rFonts w:hint="eastAsia" w:asciiTheme="minorEastAsia" w:hAnsiTheme="minorEastAsia" w:eastAsiaTheme="minorEastAsia" w:cstheme="minorEastAsia"/>
          <w:sz w:val="28"/>
          <w:szCs w:val="28"/>
        </w:rPr>
        <w:t>日前公户汇款，底单发给商务联系人。</w:t>
      </w:r>
    </w:p>
    <w:p>
      <w:pPr>
        <w:spacing w:line="360" w:lineRule="auto"/>
        <w:ind w:right="70" w:firstLine="482" w:firstLineChars="200"/>
        <w:rPr>
          <w:rFonts w:ascii="宋体" w:hAnsi="宋体" w:cs="黑体"/>
          <w:b/>
          <w:bCs/>
          <w:color w:val="C00000"/>
          <w:sz w:val="24"/>
        </w:rPr>
      </w:pPr>
      <w:r>
        <w:rPr>
          <w:rFonts w:hint="eastAsia" w:ascii="宋体" w:hAnsi="宋体" w:cs="黑体"/>
          <w:b/>
          <w:bCs/>
          <w:color w:val="C00000"/>
          <w:sz w:val="24"/>
        </w:rPr>
        <w:t>汇款资料：</w:t>
      </w:r>
    </w:p>
    <w:p>
      <w:pPr>
        <w:spacing w:line="360" w:lineRule="auto"/>
        <w:ind w:left="0" w:leftChars="0" w:right="70" w:firstLine="843" w:firstLineChars="350"/>
        <w:rPr>
          <w:rFonts w:hint="eastAsia" w:ascii="宋体" w:hAnsi="宋体" w:cs="仿宋_GB2312"/>
          <w:b/>
          <w:bCs/>
          <w:color w:val="C00000"/>
          <w:sz w:val="24"/>
        </w:rPr>
      </w:pPr>
      <w:r>
        <w:rPr>
          <w:rFonts w:hint="eastAsia" w:ascii="宋体" w:hAnsi="宋体" w:cs="仿宋_GB2312"/>
          <w:b/>
          <w:bCs/>
          <w:color w:val="C00000"/>
          <w:sz w:val="24"/>
        </w:rPr>
        <w:t>单位名称：山东金宝电子有限公司</w:t>
      </w:r>
    </w:p>
    <w:p>
      <w:pPr>
        <w:spacing w:line="360" w:lineRule="auto"/>
        <w:ind w:left="0" w:leftChars="0" w:right="70" w:firstLine="843" w:firstLineChars="350"/>
        <w:rPr>
          <w:rFonts w:hint="eastAsia" w:ascii="宋体" w:hAnsi="宋体" w:cs="仿宋_GB2312"/>
          <w:b/>
          <w:bCs/>
          <w:color w:val="C00000"/>
          <w:sz w:val="24"/>
        </w:rPr>
      </w:pPr>
      <w:r>
        <w:rPr>
          <w:rFonts w:hint="eastAsia" w:ascii="宋体" w:hAnsi="宋体" w:cs="仿宋_GB2312"/>
          <w:b/>
          <w:bCs/>
          <w:color w:val="C00000"/>
          <w:sz w:val="24"/>
        </w:rPr>
        <w:t>帐    号：5000 6473 3510 017</w:t>
      </w:r>
    </w:p>
    <w:p>
      <w:pPr>
        <w:spacing w:line="360" w:lineRule="auto"/>
        <w:ind w:left="0" w:leftChars="0" w:right="70" w:firstLine="843" w:firstLineChars="350"/>
        <w:rPr>
          <w:rFonts w:hint="eastAsia" w:ascii="宋体" w:hAnsi="宋体" w:cs="仿宋_GB2312"/>
          <w:b/>
          <w:bCs/>
          <w:color w:val="C00000"/>
          <w:sz w:val="24"/>
        </w:rPr>
      </w:pPr>
      <w:r>
        <w:rPr>
          <w:rFonts w:hint="eastAsia" w:ascii="宋体" w:hAnsi="宋体" w:cs="仿宋_GB2312"/>
          <w:b/>
          <w:bCs/>
          <w:color w:val="C00000"/>
          <w:sz w:val="24"/>
        </w:rPr>
        <w:t>开 户 行：恒丰银行招远支行</w:t>
      </w:r>
    </w:p>
    <w:p>
      <w:pPr>
        <w:widowControl/>
        <w:ind w:firstLine="482" w:firstLineChars="200"/>
        <w:jc w:val="left"/>
        <w:rPr>
          <w:rFonts w:asciiTheme="minorEastAsia" w:hAnsiTheme="minorEastAsia" w:eastAsiaTheme="minorEastAsia" w:cstheme="minorEastAsia"/>
          <w:b/>
          <w:bCs/>
          <w:color w:val="000000"/>
          <w:sz w:val="24"/>
        </w:rPr>
      </w:pPr>
    </w:p>
    <w:p>
      <w:pPr>
        <w:spacing w:line="620" w:lineRule="exact"/>
        <w:ind w:right="7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人未中标，投标保证金将在竞标结束后10日内无息返还。中标方的投标保证金将在签订合同后，自动转为履约保证金或10日内无息返还。中标方放弃中标权利，投标保证金将予以没收。未缴纳投标保证金的，一律视为废标。</w:t>
      </w:r>
    </w:p>
    <w:p>
      <w:pPr>
        <w:spacing w:line="620" w:lineRule="exact"/>
        <w:ind w:right="70" w:firstLine="480" w:firstLineChars="200"/>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八、为保证效果，本项目需要先投技术标。确定技术方案后，再投商务标。技术投标需要将技术方案以邮件的形式发送到我公司</w:t>
      </w:r>
      <w:r>
        <w:rPr>
          <w:rFonts w:hint="eastAsia" w:asciiTheme="minorEastAsia" w:hAnsiTheme="minorEastAsia" w:eastAsiaTheme="minorEastAsia" w:cstheme="minorEastAsia"/>
          <w:sz w:val="24"/>
          <w:u w:val="single"/>
        </w:rPr>
        <w:t xml:space="preserve"> 设备部 </w:t>
      </w:r>
      <w:r>
        <w:rPr>
          <w:rFonts w:hint="eastAsia" w:asciiTheme="minorEastAsia" w:hAnsiTheme="minorEastAsia" w:eastAsiaTheme="minorEastAsia" w:cstheme="minorEastAsia"/>
          <w:sz w:val="24"/>
        </w:rPr>
        <w:t>邮箱中（联系人</w:t>
      </w:r>
      <w:r>
        <w:rPr>
          <w:rFonts w:hint="eastAsia" w:asciiTheme="minorEastAsia" w:hAnsiTheme="minorEastAsia" w:eastAsiaTheme="minorEastAsia" w:cstheme="minorEastAsia"/>
          <w:sz w:val="24"/>
          <w:u w:val="single"/>
        </w:rPr>
        <w:t>：赵金波</w:t>
      </w:r>
      <w:r>
        <w:rPr>
          <w:rFonts w:hint="eastAsia" w:asciiTheme="minorEastAsia" w:hAnsiTheme="minorEastAsia" w:eastAsiaTheme="minorEastAsia" w:cstheme="minorEastAsia"/>
          <w:sz w:val="24"/>
        </w:rPr>
        <w:t>)；商务投标将标书</w:t>
      </w:r>
      <w:r>
        <w:rPr>
          <w:rFonts w:hint="eastAsia" w:asciiTheme="minorEastAsia" w:hAnsiTheme="minorEastAsia" w:eastAsiaTheme="minorEastAsia" w:cstheme="minorEastAsia"/>
          <w:b/>
          <w:bCs/>
          <w:sz w:val="24"/>
        </w:rPr>
        <w:t>邮寄或直接</w:t>
      </w:r>
      <w:r>
        <w:rPr>
          <w:rFonts w:hint="eastAsia" w:asciiTheme="minorEastAsia" w:hAnsiTheme="minorEastAsia" w:eastAsiaTheme="minorEastAsia" w:cstheme="minorEastAsia"/>
          <w:sz w:val="24"/>
        </w:rPr>
        <w:t>送达采购部（联系人：</w:t>
      </w:r>
      <w:r>
        <w:rPr>
          <w:rFonts w:hint="eastAsia" w:asciiTheme="minorEastAsia" w:hAnsiTheme="minorEastAsia" w:eastAsiaTheme="minorEastAsia" w:cstheme="minorEastAsia"/>
          <w:sz w:val="24"/>
          <w:lang w:val="en-US" w:eastAsia="zh-CN"/>
        </w:rPr>
        <w:t>王建清</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或发送至</w:t>
      </w:r>
      <w:r>
        <w:rPr>
          <w:rFonts w:hint="eastAsia" w:asciiTheme="minorEastAsia" w:hAnsiTheme="minorEastAsia" w:eastAsiaTheme="minorEastAsia" w:cstheme="minorEastAsia"/>
          <w:sz w:val="24"/>
        </w:rPr>
        <w:t>邮箱</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b/>
          <w:sz w:val="28"/>
          <w:szCs w:val="28"/>
          <w:u w:val="single"/>
        </w:rPr>
        <w:fldChar w:fldCharType="begin"/>
      </w:r>
      <w:r>
        <w:rPr>
          <w:rFonts w:hint="eastAsia" w:asciiTheme="minorEastAsia" w:hAnsiTheme="minorEastAsia" w:eastAsiaTheme="minorEastAsia" w:cstheme="minorEastAsia"/>
          <w:b/>
          <w:sz w:val="28"/>
          <w:szCs w:val="28"/>
          <w:u w:val="single"/>
        </w:rPr>
        <w:instrText xml:space="preserve"> HYPERLINK "mailto:jinbaoxb@chinajinbao.com" </w:instrText>
      </w:r>
      <w:r>
        <w:rPr>
          <w:rFonts w:hint="eastAsia" w:asciiTheme="minorEastAsia" w:hAnsiTheme="minorEastAsia" w:eastAsiaTheme="minorEastAsia" w:cstheme="minorEastAsia"/>
          <w:b/>
          <w:sz w:val="28"/>
          <w:szCs w:val="28"/>
          <w:u w:val="single"/>
        </w:rPr>
        <w:fldChar w:fldCharType="separate"/>
      </w:r>
      <w:r>
        <w:rPr>
          <w:rStyle w:val="18"/>
          <w:rFonts w:hint="eastAsia" w:asciiTheme="minorEastAsia" w:hAnsiTheme="minorEastAsia" w:eastAsiaTheme="minorEastAsia" w:cstheme="minorEastAsia"/>
          <w:b/>
          <w:sz w:val="28"/>
          <w:szCs w:val="28"/>
        </w:rPr>
        <w:t>jinbao</w:t>
      </w:r>
      <w:r>
        <w:rPr>
          <w:rStyle w:val="18"/>
          <w:rFonts w:hint="eastAsia" w:asciiTheme="minorEastAsia" w:hAnsiTheme="minorEastAsia" w:eastAsiaTheme="minorEastAsia" w:cstheme="minorEastAsia"/>
          <w:b/>
          <w:sz w:val="28"/>
          <w:szCs w:val="28"/>
          <w:lang w:val="en-US" w:eastAsia="zh-CN"/>
        </w:rPr>
        <w:t>xb</w:t>
      </w:r>
      <w:r>
        <w:rPr>
          <w:rStyle w:val="18"/>
          <w:rFonts w:hint="eastAsia" w:asciiTheme="minorEastAsia" w:hAnsiTheme="minorEastAsia" w:eastAsiaTheme="minorEastAsia" w:cstheme="minorEastAsia"/>
          <w:b/>
          <w:sz w:val="28"/>
          <w:szCs w:val="28"/>
        </w:rPr>
        <w:t>@chinajinbao.com</w:t>
      </w:r>
      <w:r>
        <w:rPr>
          <w:rFonts w:hint="eastAsia" w:asciiTheme="minorEastAsia" w:hAnsiTheme="minorEastAsia" w:eastAsiaTheme="minorEastAsia" w:cstheme="minorEastAsia"/>
          <w:b/>
          <w:sz w:val="28"/>
          <w:szCs w:val="28"/>
          <w:u w:val="single"/>
        </w:rPr>
        <w:fldChar w:fldCharType="end"/>
      </w:r>
      <w:r>
        <w:rPr>
          <w:rFonts w:hint="eastAsia" w:asciiTheme="minorEastAsia" w:hAnsiTheme="minorEastAsia" w:eastAsiaTheme="minorEastAsia" w:cstheme="minorEastAsia"/>
          <w:b/>
          <w:sz w:val="28"/>
          <w:szCs w:val="28"/>
          <w:u w:val="single"/>
          <w:lang w:val="en-US" w:eastAsia="zh-CN"/>
        </w:rPr>
        <w:t xml:space="preserve"> </w:t>
      </w:r>
      <w:r>
        <w:rPr>
          <w:rFonts w:hint="eastAsia" w:asciiTheme="minorEastAsia" w:hAnsiTheme="minorEastAsia" w:eastAsiaTheme="minorEastAsia" w:cstheme="minorEastAsia"/>
          <w:b/>
          <w:sz w:val="28"/>
          <w:szCs w:val="28"/>
          <w:u w:val="none"/>
          <w:lang w:val="en-US" w:eastAsia="zh-CN"/>
        </w:rPr>
        <w:t>，</w:t>
      </w:r>
      <w:r>
        <w:rPr>
          <w:rFonts w:hint="eastAsia" w:asciiTheme="minorEastAsia" w:hAnsiTheme="minorEastAsia" w:eastAsiaTheme="minorEastAsia" w:cstheme="minorEastAsia"/>
          <w:sz w:val="24"/>
          <w:lang w:val="en-US" w:eastAsia="zh-CN"/>
        </w:rPr>
        <w:t>邮箱标题格式：单位名称+项目名称</w:t>
      </w:r>
      <w:r>
        <w:rPr>
          <w:rFonts w:hint="eastAsia" w:asciiTheme="minorEastAsia" w:hAnsiTheme="minorEastAsia" w:eastAsiaTheme="minorEastAsia" w:cstheme="minorEastAsia"/>
          <w:sz w:val="24"/>
          <w:lang w:eastAsia="zh-CN"/>
        </w:rPr>
        <w:t>。</w:t>
      </w:r>
    </w:p>
    <w:p>
      <w:pPr>
        <w:spacing w:line="620" w:lineRule="exact"/>
        <w:ind w:right="70"/>
        <w:jc w:val="center"/>
        <w:rPr>
          <w:rFonts w:ascii="黑体" w:hAnsi="黑体" w:eastAsia="黑体" w:cs="黑体"/>
          <w:sz w:val="36"/>
          <w:szCs w:val="36"/>
        </w:rPr>
      </w:pPr>
    </w:p>
    <w:p>
      <w:pPr>
        <w:spacing w:line="620" w:lineRule="exact"/>
        <w:ind w:right="70"/>
        <w:jc w:val="center"/>
        <w:rPr>
          <w:rFonts w:ascii="宋体" w:hAnsi="宋体" w:cs="宋体"/>
          <w:b/>
          <w:bCs/>
          <w:sz w:val="28"/>
          <w:szCs w:val="28"/>
        </w:rPr>
      </w:pPr>
      <w:r>
        <w:rPr>
          <w:rFonts w:hint="eastAsia" w:ascii="宋体" w:hAnsi="宋体" w:cs="宋体"/>
          <w:b/>
          <w:bCs/>
          <w:sz w:val="28"/>
          <w:szCs w:val="28"/>
        </w:rPr>
        <w:t>第二部分   投标人须知</w:t>
      </w:r>
    </w:p>
    <w:p>
      <w:pPr>
        <w:spacing w:line="620" w:lineRule="exact"/>
        <w:ind w:right="70" w:firstLine="562" w:firstLineChars="200"/>
        <w:rPr>
          <w:rFonts w:ascii="宋体" w:hAnsi="宋体" w:cs="宋体"/>
          <w:b/>
          <w:bCs/>
          <w:sz w:val="28"/>
          <w:szCs w:val="28"/>
        </w:rPr>
      </w:pPr>
      <w:r>
        <w:rPr>
          <w:rFonts w:hint="eastAsia" w:ascii="宋体" w:hAnsi="宋体" w:cs="宋体"/>
          <w:b/>
          <w:bCs/>
          <w:sz w:val="28"/>
          <w:szCs w:val="28"/>
        </w:rPr>
        <w:t>一、投标要求</w:t>
      </w:r>
    </w:p>
    <w:p>
      <w:pPr>
        <w:spacing w:line="620" w:lineRule="exact"/>
        <w:ind w:right="70" w:firstLine="642"/>
        <w:rPr>
          <w:rFonts w:ascii="宋体" w:hAnsi="宋体" w:cs="宋体"/>
          <w:sz w:val="24"/>
        </w:rPr>
      </w:pPr>
      <w:r>
        <w:rPr>
          <w:rFonts w:hint="eastAsia" w:ascii="宋体" w:hAnsi="宋体" w:cs="宋体"/>
          <w:sz w:val="24"/>
        </w:rPr>
        <w:t>1.投标人应根据招标人提供的项目需求设计整体解决方案，制定项目配置及实施方案，进行分项报价，并提供方案说明及服务承诺。</w:t>
      </w:r>
    </w:p>
    <w:p>
      <w:pPr>
        <w:spacing w:line="620" w:lineRule="exact"/>
        <w:ind w:right="70" w:firstLine="642"/>
        <w:rPr>
          <w:rFonts w:ascii="宋体" w:hAnsi="宋体" w:cs="宋体"/>
          <w:sz w:val="24"/>
        </w:rPr>
      </w:pPr>
      <w:r>
        <w:rPr>
          <w:rFonts w:hint="eastAsia" w:ascii="宋体" w:hAnsi="宋体" w:cs="宋体"/>
          <w:sz w:val="24"/>
        </w:rPr>
        <w:t>2.投标人应按照招标文件的要求提供完整、准确的投标文件，保证所指定的解决方案满足招标人所提出的项目全部要求，并对所有资料的真实性承担法律责任。</w:t>
      </w:r>
    </w:p>
    <w:p>
      <w:pPr>
        <w:spacing w:line="620" w:lineRule="exact"/>
        <w:ind w:right="70" w:firstLine="642"/>
        <w:rPr>
          <w:rFonts w:ascii="宋体" w:hAnsi="宋体" w:cs="宋体"/>
          <w:sz w:val="24"/>
        </w:rPr>
      </w:pPr>
      <w:r>
        <w:rPr>
          <w:rFonts w:hint="eastAsia" w:ascii="宋体" w:hAnsi="宋体" w:cs="宋体"/>
          <w:sz w:val="24"/>
        </w:rPr>
        <w:t>3.招标人保留与投标人的报价进行商务谈判的权利，同时保留对投标人的客户进行咨询、访问（不涉及商业机密内容）的权利。</w:t>
      </w:r>
    </w:p>
    <w:p>
      <w:pPr>
        <w:spacing w:line="620" w:lineRule="exact"/>
        <w:ind w:right="70" w:firstLine="642"/>
        <w:rPr>
          <w:rFonts w:ascii="宋体" w:hAnsi="宋体" w:cs="宋体"/>
          <w:sz w:val="24"/>
        </w:rPr>
      </w:pPr>
      <w:r>
        <w:rPr>
          <w:rFonts w:hint="eastAsia" w:ascii="宋体" w:hAnsi="宋体" w:cs="宋体"/>
          <w:sz w:val="24"/>
        </w:rPr>
        <w:t>4.在参与本次招标过程中出现以下情况或行为，将取消其投标资格且不予返还投标保证金：</w:t>
      </w:r>
    </w:p>
    <w:p>
      <w:pPr>
        <w:spacing w:line="620" w:lineRule="exact"/>
        <w:ind w:right="70" w:firstLine="642"/>
        <w:rPr>
          <w:rFonts w:ascii="宋体" w:hAnsi="宋体" w:cs="宋体"/>
          <w:sz w:val="24"/>
        </w:rPr>
      </w:pPr>
      <w:r>
        <w:rPr>
          <w:rFonts w:hint="eastAsia" w:ascii="宋体" w:hAnsi="宋体" w:cs="宋体"/>
          <w:sz w:val="24"/>
        </w:rPr>
        <w:t>①采取弄虚作假的方式，提供虚假的信息或资料；</w:t>
      </w:r>
    </w:p>
    <w:p>
      <w:pPr>
        <w:spacing w:line="620" w:lineRule="exact"/>
        <w:ind w:right="70" w:firstLine="642"/>
        <w:rPr>
          <w:rFonts w:ascii="宋体" w:hAnsi="宋体" w:cs="宋体"/>
          <w:sz w:val="24"/>
        </w:rPr>
      </w:pPr>
      <w:r>
        <w:rPr>
          <w:rFonts w:hint="eastAsia" w:ascii="宋体" w:hAnsi="宋体" w:cs="宋体"/>
          <w:sz w:val="24"/>
        </w:rPr>
        <w:t>②存在不正当竞争，如：串标、陪标现象；</w:t>
      </w:r>
    </w:p>
    <w:p>
      <w:pPr>
        <w:spacing w:line="620" w:lineRule="exact"/>
        <w:ind w:right="70" w:firstLine="642"/>
        <w:rPr>
          <w:rFonts w:ascii="宋体" w:hAnsi="宋体" w:cs="宋体"/>
          <w:sz w:val="24"/>
        </w:rPr>
      </w:pPr>
      <w:r>
        <w:rPr>
          <w:rFonts w:hint="eastAsia" w:ascii="宋体" w:hAnsi="宋体" w:cs="宋体"/>
          <w:sz w:val="24"/>
        </w:rPr>
        <w:t>③存在贿赂、威胁、利诱等行为，妄图影响招标的真实性、公正性；（该行为将被记录在案，永久性取消投标资格。）</w:t>
      </w:r>
    </w:p>
    <w:p>
      <w:pPr>
        <w:spacing w:line="620" w:lineRule="exact"/>
        <w:ind w:right="70" w:firstLine="562" w:firstLineChars="200"/>
        <w:rPr>
          <w:rFonts w:ascii="宋体" w:hAnsi="宋体" w:cs="宋体"/>
          <w:b/>
          <w:bCs/>
          <w:sz w:val="28"/>
          <w:szCs w:val="28"/>
        </w:rPr>
      </w:pPr>
      <w:r>
        <w:rPr>
          <w:rFonts w:hint="eastAsia" w:ascii="宋体" w:hAnsi="宋体" w:cs="宋体"/>
          <w:b/>
          <w:bCs/>
          <w:sz w:val="28"/>
          <w:szCs w:val="28"/>
        </w:rPr>
        <w:t>二.投标无效</w:t>
      </w:r>
    </w:p>
    <w:p>
      <w:pPr>
        <w:spacing w:line="620" w:lineRule="exact"/>
        <w:ind w:right="70" w:firstLine="642"/>
        <w:rPr>
          <w:rFonts w:ascii="宋体" w:hAnsi="宋体" w:cs="宋体"/>
          <w:sz w:val="24"/>
        </w:rPr>
      </w:pPr>
      <w:r>
        <w:rPr>
          <w:rFonts w:hint="eastAsia" w:ascii="宋体" w:hAnsi="宋体" w:cs="宋体"/>
          <w:sz w:val="24"/>
        </w:rPr>
        <w:t>有以下情形的投标文件，视为无效：</w:t>
      </w:r>
    </w:p>
    <w:p>
      <w:pPr>
        <w:spacing w:line="620" w:lineRule="exact"/>
        <w:ind w:right="70" w:firstLine="480" w:firstLineChars="200"/>
        <w:rPr>
          <w:rFonts w:ascii="宋体" w:hAnsi="宋体" w:cs="宋体"/>
          <w:sz w:val="24"/>
        </w:rPr>
      </w:pPr>
      <w:r>
        <w:rPr>
          <w:rFonts w:hint="eastAsia" w:ascii="宋体" w:hAnsi="宋体" w:cs="宋体"/>
          <w:sz w:val="24"/>
        </w:rPr>
        <w:t>1.逾期未送达投标文件的；</w:t>
      </w:r>
    </w:p>
    <w:p>
      <w:pPr>
        <w:spacing w:line="620" w:lineRule="exact"/>
        <w:ind w:right="70" w:firstLine="480" w:firstLineChars="200"/>
        <w:rPr>
          <w:rFonts w:ascii="宋体" w:hAnsi="宋体" w:cs="宋体"/>
          <w:sz w:val="24"/>
        </w:rPr>
      </w:pPr>
      <w:r>
        <w:rPr>
          <w:rFonts w:hint="eastAsia" w:ascii="宋体" w:hAnsi="宋体" w:cs="宋体"/>
          <w:sz w:val="24"/>
        </w:rPr>
        <w:t>2.未按规定递交密封投标文件的；</w:t>
      </w:r>
    </w:p>
    <w:p>
      <w:pPr>
        <w:spacing w:line="620" w:lineRule="exact"/>
        <w:ind w:right="70" w:firstLine="480" w:firstLineChars="200"/>
        <w:rPr>
          <w:rFonts w:ascii="宋体" w:hAnsi="宋体" w:cs="宋体"/>
          <w:sz w:val="24"/>
        </w:rPr>
      </w:pPr>
      <w:r>
        <w:rPr>
          <w:rFonts w:hint="eastAsia" w:ascii="宋体" w:hAnsi="宋体" w:cs="宋体"/>
          <w:sz w:val="24"/>
        </w:rPr>
        <w:t>3.投标文件的编制、内容与招标文件存在明显差异或不符的；</w:t>
      </w:r>
    </w:p>
    <w:p>
      <w:pPr>
        <w:spacing w:line="620" w:lineRule="exact"/>
        <w:ind w:right="70" w:firstLine="480" w:firstLineChars="200"/>
        <w:rPr>
          <w:rFonts w:ascii="宋体" w:hAnsi="宋体" w:cs="宋体"/>
          <w:sz w:val="24"/>
        </w:rPr>
      </w:pPr>
      <w:r>
        <w:rPr>
          <w:rFonts w:hint="eastAsia" w:ascii="宋体" w:hAnsi="宋体" w:cs="宋体"/>
          <w:sz w:val="24"/>
        </w:rPr>
        <w:t>4.未加盖公章或无授权委托书的；</w:t>
      </w:r>
    </w:p>
    <w:p>
      <w:pPr>
        <w:spacing w:line="620" w:lineRule="exact"/>
        <w:ind w:right="70" w:firstLine="562" w:firstLineChars="200"/>
        <w:rPr>
          <w:rFonts w:ascii="宋体" w:hAnsi="宋体" w:cs="宋体"/>
          <w:b/>
          <w:bCs/>
          <w:sz w:val="28"/>
          <w:szCs w:val="28"/>
        </w:rPr>
      </w:pPr>
      <w:r>
        <w:rPr>
          <w:rFonts w:hint="eastAsia" w:ascii="宋体" w:hAnsi="宋体" w:cs="宋体"/>
          <w:b/>
          <w:bCs/>
          <w:sz w:val="28"/>
          <w:szCs w:val="28"/>
        </w:rPr>
        <w:t>三、投标文件的构成</w:t>
      </w:r>
    </w:p>
    <w:p>
      <w:pPr>
        <w:spacing w:line="620" w:lineRule="exact"/>
        <w:ind w:right="70" w:firstLine="642"/>
        <w:rPr>
          <w:rFonts w:ascii="宋体" w:hAnsi="宋体" w:cs="宋体"/>
          <w:sz w:val="24"/>
        </w:rPr>
      </w:pPr>
      <w:r>
        <w:rPr>
          <w:rFonts w:hint="eastAsia" w:ascii="宋体" w:hAnsi="宋体" w:cs="宋体"/>
          <w:sz w:val="24"/>
        </w:rPr>
        <w:t>1.资质文件；</w:t>
      </w:r>
    </w:p>
    <w:p>
      <w:pPr>
        <w:spacing w:line="620" w:lineRule="exact"/>
        <w:ind w:right="70" w:firstLine="642"/>
        <w:rPr>
          <w:rFonts w:ascii="宋体" w:hAnsi="宋体" w:cs="宋体"/>
          <w:sz w:val="24"/>
        </w:rPr>
      </w:pPr>
      <w:r>
        <w:rPr>
          <w:rFonts w:hint="eastAsia" w:ascii="宋体" w:hAnsi="宋体" w:cs="宋体"/>
          <w:sz w:val="24"/>
        </w:rPr>
        <w:t>①营业执照</w:t>
      </w:r>
    </w:p>
    <w:p>
      <w:pPr>
        <w:spacing w:line="620" w:lineRule="exact"/>
        <w:ind w:right="70" w:firstLine="642"/>
        <w:rPr>
          <w:rFonts w:ascii="宋体" w:hAnsi="宋体" w:cs="宋体"/>
          <w:sz w:val="24"/>
        </w:rPr>
      </w:pPr>
      <w:r>
        <w:rPr>
          <w:rFonts w:hint="eastAsia" w:ascii="宋体" w:hAnsi="宋体" w:cs="宋体"/>
          <w:sz w:val="24"/>
        </w:rPr>
        <w:t>②授权委托书</w:t>
      </w:r>
    </w:p>
    <w:p>
      <w:pPr>
        <w:spacing w:line="620" w:lineRule="exact"/>
        <w:ind w:right="70" w:firstLine="642"/>
        <w:rPr>
          <w:rFonts w:ascii="宋体" w:hAnsi="宋体" w:cs="宋体"/>
          <w:sz w:val="24"/>
        </w:rPr>
      </w:pPr>
      <w:r>
        <w:rPr>
          <w:rFonts w:hint="eastAsia" w:ascii="宋体" w:hAnsi="宋体" w:cs="宋体"/>
          <w:sz w:val="24"/>
        </w:rPr>
        <w:t>③企业资质及行业认证文件资料</w:t>
      </w:r>
    </w:p>
    <w:p>
      <w:pPr>
        <w:spacing w:line="620" w:lineRule="exact"/>
        <w:ind w:right="70" w:firstLine="642"/>
        <w:rPr>
          <w:rFonts w:hint="eastAsia" w:ascii="宋体" w:hAnsi="宋体" w:eastAsia="宋体" w:cs="宋体"/>
          <w:sz w:val="24"/>
          <w:lang w:eastAsia="zh-CN"/>
        </w:rPr>
      </w:pPr>
      <w:r>
        <w:rPr>
          <w:rFonts w:hint="eastAsia" w:ascii="宋体" w:hAnsi="宋体" w:cs="宋体"/>
          <w:sz w:val="24"/>
        </w:rPr>
        <w:t>④</w:t>
      </w:r>
      <w:r>
        <w:rPr>
          <w:rFonts w:hint="eastAsia" w:ascii="宋体" w:hAnsi="宋体" w:cs="宋体"/>
          <w:sz w:val="24"/>
          <w:lang w:eastAsia="zh-CN"/>
        </w:rPr>
        <w:t>专业能力</w:t>
      </w:r>
    </w:p>
    <w:p>
      <w:pPr>
        <w:spacing w:line="620" w:lineRule="exact"/>
        <w:ind w:right="70" w:firstLine="480" w:firstLineChars="200"/>
        <w:rPr>
          <w:rFonts w:ascii="宋体" w:hAnsi="宋体" w:cs="宋体"/>
          <w:sz w:val="24"/>
        </w:rPr>
      </w:pPr>
      <w:r>
        <w:rPr>
          <w:rFonts w:hint="eastAsia" w:ascii="宋体" w:hAnsi="宋体" w:cs="宋体"/>
          <w:sz w:val="24"/>
        </w:rPr>
        <w:t>2.</w:t>
      </w:r>
      <w:r>
        <w:rPr>
          <w:rFonts w:hint="eastAsia" w:ascii="宋体" w:hAnsi="宋体" w:cs="宋体"/>
          <w:sz w:val="24"/>
          <w:lang w:eastAsia="zh-CN"/>
        </w:rPr>
        <w:t>能源审计</w:t>
      </w:r>
      <w:r>
        <w:rPr>
          <w:rFonts w:hint="eastAsia" w:ascii="宋体" w:hAnsi="宋体" w:cs="宋体"/>
          <w:sz w:val="24"/>
        </w:rPr>
        <w:t>项目</w:t>
      </w:r>
      <w:r>
        <w:rPr>
          <w:rFonts w:hint="eastAsia" w:ascii="宋体" w:hAnsi="宋体" w:cs="宋体"/>
          <w:bCs/>
          <w:sz w:val="24"/>
        </w:rPr>
        <w:t>实施案例</w:t>
      </w:r>
      <w:r>
        <w:rPr>
          <w:rFonts w:hint="eastAsia" w:ascii="宋体" w:hAnsi="宋体" w:cs="宋体"/>
          <w:sz w:val="24"/>
        </w:rPr>
        <w:t>及相关资料；</w:t>
      </w:r>
    </w:p>
    <w:p>
      <w:pPr>
        <w:spacing w:line="620" w:lineRule="exact"/>
        <w:ind w:right="70" w:firstLine="480" w:firstLineChars="200"/>
        <w:rPr>
          <w:rFonts w:ascii="宋体" w:hAnsi="宋体" w:cs="宋体"/>
          <w:sz w:val="24"/>
        </w:rPr>
      </w:pPr>
      <w:r>
        <w:rPr>
          <w:rFonts w:hint="eastAsia" w:ascii="宋体" w:hAnsi="宋体" w:cs="宋体"/>
          <w:sz w:val="24"/>
        </w:rPr>
        <w:t>3.</w:t>
      </w:r>
      <w:r>
        <w:rPr>
          <w:rFonts w:hint="eastAsia" w:ascii="宋体" w:hAnsi="宋体" w:cs="宋体"/>
          <w:sz w:val="24"/>
          <w:lang w:eastAsia="zh-CN"/>
        </w:rPr>
        <w:t>能源审计</w:t>
      </w:r>
      <w:r>
        <w:rPr>
          <w:rFonts w:hint="eastAsia" w:ascii="宋体" w:hAnsi="宋体" w:cs="宋体"/>
          <w:sz w:val="24"/>
        </w:rPr>
        <w:t>项目方案</w:t>
      </w:r>
    </w:p>
    <w:p>
      <w:pPr>
        <w:spacing w:line="620" w:lineRule="exact"/>
        <w:ind w:right="70" w:firstLine="642"/>
        <w:rPr>
          <w:rFonts w:ascii="宋体" w:hAnsi="宋体" w:cs="宋体"/>
          <w:sz w:val="24"/>
        </w:rPr>
      </w:pPr>
      <w:r>
        <w:rPr>
          <w:rFonts w:hint="eastAsia" w:ascii="宋体" w:hAnsi="宋体" w:cs="宋体"/>
          <w:sz w:val="24"/>
        </w:rPr>
        <w:t>①</w:t>
      </w:r>
      <w:r>
        <w:rPr>
          <w:rFonts w:hint="eastAsia" w:ascii="宋体" w:hAnsi="宋体" w:cs="宋体"/>
          <w:sz w:val="24"/>
          <w:lang w:eastAsia="zh-CN"/>
        </w:rPr>
        <w:t>能源审计设备</w:t>
      </w:r>
      <w:r>
        <w:rPr>
          <w:rFonts w:hint="eastAsia" w:ascii="宋体" w:hAnsi="宋体" w:cs="宋体"/>
          <w:sz w:val="24"/>
        </w:rPr>
        <w:t>清单及详细资料</w:t>
      </w:r>
    </w:p>
    <w:p>
      <w:pPr>
        <w:spacing w:line="620" w:lineRule="exact"/>
        <w:ind w:right="70" w:firstLine="642"/>
        <w:rPr>
          <w:rFonts w:ascii="宋体" w:hAnsi="宋体" w:cs="宋体"/>
          <w:sz w:val="24"/>
        </w:rPr>
      </w:pPr>
      <w:r>
        <w:rPr>
          <w:rFonts w:hint="eastAsia" w:ascii="宋体" w:hAnsi="宋体" w:cs="宋体"/>
          <w:sz w:val="24"/>
        </w:rPr>
        <w:t>②《项目解决方案及服务内容》</w:t>
      </w:r>
    </w:p>
    <w:p>
      <w:pPr>
        <w:spacing w:line="620" w:lineRule="exact"/>
        <w:ind w:right="70" w:firstLine="642"/>
        <w:rPr>
          <w:rFonts w:hint="eastAsia" w:ascii="宋体" w:hAnsi="宋体" w:cs="宋体"/>
          <w:sz w:val="24"/>
          <w:lang w:eastAsia="zh-CN"/>
        </w:rPr>
      </w:pPr>
      <w:r>
        <w:rPr>
          <w:rFonts w:hint="eastAsia" w:ascii="宋体" w:hAnsi="宋体" w:cs="宋体"/>
          <w:sz w:val="24"/>
        </w:rPr>
        <w:t>③</w:t>
      </w:r>
      <w:r>
        <w:rPr>
          <w:rFonts w:hint="eastAsia" w:ascii="宋体" w:hAnsi="宋体" w:cs="宋体"/>
          <w:sz w:val="24"/>
          <w:lang w:eastAsia="zh-CN"/>
        </w:rPr>
        <w:t>能源审计</w:t>
      </w:r>
      <w:r>
        <w:rPr>
          <w:rFonts w:hint="eastAsia" w:ascii="宋体" w:hAnsi="宋体" w:cs="宋体"/>
          <w:sz w:val="24"/>
        </w:rPr>
        <w:t>实施方案</w:t>
      </w:r>
    </w:p>
    <w:p>
      <w:pPr>
        <w:spacing w:line="620" w:lineRule="exact"/>
        <w:ind w:right="70" w:firstLine="642"/>
        <w:rPr>
          <w:rFonts w:ascii="宋体" w:hAnsi="宋体" w:cs="宋体"/>
          <w:sz w:val="24"/>
        </w:rPr>
      </w:pPr>
      <w:r>
        <w:rPr>
          <w:rFonts w:hint="eastAsia" w:ascii="宋体" w:hAnsi="宋体" w:cs="宋体"/>
          <w:sz w:val="24"/>
        </w:rPr>
        <w:t>④项目实施进度计划及人员安排</w:t>
      </w:r>
    </w:p>
    <w:p>
      <w:pPr>
        <w:spacing w:line="620" w:lineRule="exact"/>
        <w:ind w:right="70" w:firstLine="642"/>
        <w:rPr>
          <w:rFonts w:ascii="宋体" w:hAnsi="宋体" w:cs="宋体"/>
          <w:sz w:val="24"/>
        </w:rPr>
      </w:pPr>
      <w:r>
        <w:rPr>
          <w:rFonts w:hint="eastAsia" w:ascii="宋体" w:hAnsi="宋体" w:cs="宋体"/>
          <w:sz w:val="24"/>
        </w:rPr>
        <w:t>⑤售后服务方案</w:t>
      </w:r>
    </w:p>
    <w:p>
      <w:pPr>
        <w:spacing w:line="620" w:lineRule="exact"/>
        <w:ind w:right="70" w:firstLine="642"/>
        <w:rPr>
          <w:rFonts w:ascii="宋体" w:hAnsi="宋体" w:cs="宋体"/>
          <w:sz w:val="24"/>
        </w:rPr>
      </w:pPr>
      <w:r>
        <w:rPr>
          <w:rFonts w:hint="eastAsia" w:ascii="宋体" w:hAnsi="宋体" w:cs="宋体"/>
          <w:sz w:val="24"/>
        </w:rPr>
        <w:t>4.报价</w:t>
      </w:r>
    </w:p>
    <w:p>
      <w:pPr>
        <w:spacing w:line="620" w:lineRule="exact"/>
        <w:ind w:right="70" w:firstLine="972" w:firstLineChars="405"/>
        <w:rPr>
          <w:rFonts w:ascii="宋体" w:hAnsi="宋体" w:cs="宋体"/>
          <w:sz w:val="24"/>
        </w:rPr>
      </w:pPr>
      <w:r>
        <w:rPr>
          <w:rFonts w:hint="eastAsia" w:ascii="宋体" w:hAnsi="宋体" w:cs="宋体"/>
          <w:sz w:val="24"/>
        </w:rPr>
        <w:t>提交《</w:t>
      </w:r>
      <w:r>
        <w:rPr>
          <w:rFonts w:hint="eastAsia" w:ascii="宋体" w:hAnsi="宋体" w:cs="宋体"/>
          <w:sz w:val="24"/>
          <w:lang w:eastAsia="zh-CN"/>
        </w:rPr>
        <w:t>能源审计</w:t>
      </w:r>
      <w:r>
        <w:rPr>
          <w:rFonts w:hint="eastAsia" w:ascii="宋体" w:hAnsi="宋体" w:cs="宋体"/>
          <w:sz w:val="24"/>
        </w:rPr>
        <w:t>报价》，包括但不限于</w:t>
      </w:r>
      <w:r>
        <w:rPr>
          <w:rFonts w:hint="eastAsia" w:ascii="宋体" w:hAnsi="宋体" w:cs="宋体"/>
          <w:sz w:val="24"/>
          <w:lang w:eastAsia="zh-CN"/>
        </w:rPr>
        <w:t>锅炉、用电设备、变配电系统测试费、食宿、交通、编制报告等费用</w:t>
      </w:r>
      <w:r>
        <w:rPr>
          <w:rFonts w:hint="eastAsia" w:ascii="宋体" w:hAnsi="宋体" w:cs="宋体"/>
          <w:sz w:val="24"/>
        </w:rPr>
        <w:t>。</w:t>
      </w:r>
    </w:p>
    <w:p>
      <w:pPr>
        <w:spacing w:line="620" w:lineRule="exact"/>
        <w:ind w:firstLine="480" w:firstLineChars="200"/>
        <w:rPr>
          <w:rFonts w:ascii="宋体" w:hAnsi="宋体" w:cs="宋体"/>
          <w:sz w:val="24"/>
        </w:rPr>
      </w:pPr>
      <w:r>
        <w:rPr>
          <w:rFonts w:hint="eastAsia" w:ascii="宋体" w:hAnsi="宋体" w:cs="宋体"/>
          <w:sz w:val="24"/>
        </w:rPr>
        <w:t>5.提交在同行业中</w:t>
      </w:r>
      <w:r>
        <w:rPr>
          <w:rFonts w:hint="eastAsia" w:ascii="宋体" w:hAnsi="宋体" w:cs="宋体"/>
          <w:sz w:val="24"/>
          <w:lang w:eastAsia="zh-CN"/>
        </w:rPr>
        <w:t>能源审计</w:t>
      </w:r>
      <w:r>
        <w:rPr>
          <w:rFonts w:hint="eastAsia" w:ascii="宋体" w:hAnsi="宋体" w:cs="宋体"/>
          <w:sz w:val="24"/>
        </w:rPr>
        <w:t>业绩表，包含单位名称、</w:t>
      </w:r>
      <w:r>
        <w:rPr>
          <w:rFonts w:hint="eastAsia" w:ascii="宋体" w:hAnsi="宋体" w:cs="宋体"/>
          <w:sz w:val="24"/>
          <w:lang w:eastAsia="zh-CN"/>
        </w:rPr>
        <w:t>审计</w:t>
      </w:r>
      <w:r>
        <w:rPr>
          <w:rFonts w:hint="eastAsia" w:ascii="宋体" w:hAnsi="宋体" w:cs="宋体"/>
          <w:sz w:val="24"/>
        </w:rPr>
        <w:t>内容、联系人及电话。</w:t>
      </w:r>
    </w:p>
    <w:p>
      <w:pPr>
        <w:spacing w:line="620" w:lineRule="exact"/>
        <w:ind w:firstLine="480" w:firstLineChars="200"/>
        <w:rPr>
          <w:rFonts w:ascii="宋体" w:hAnsi="宋体" w:cs="宋体"/>
          <w:sz w:val="24"/>
        </w:rPr>
      </w:pPr>
      <w:r>
        <w:rPr>
          <w:rFonts w:hint="eastAsia" w:ascii="宋体" w:hAnsi="宋体" w:cs="宋体"/>
          <w:sz w:val="24"/>
        </w:rPr>
        <w:t>6.标书要求</w:t>
      </w:r>
    </w:p>
    <w:p>
      <w:pPr>
        <w:spacing w:line="620" w:lineRule="exact"/>
        <w:ind w:firstLine="480" w:firstLineChars="200"/>
        <w:rPr>
          <w:rFonts w:hint="eastAsia" w:ascii="宋体" w:hAnsi="宋体" w:eastAsia="宋体" w:cs="宋体"/>
          <w:sz w:val="24"/>
          <w:lang w:eastAsia="zh-CN"/>
        </w:rPr>
      </w:pPr>
      <w:r>
        <w:rPr>
          <w:rFonts w:hint="eastAsia" w:ascii="宋体" w:hAnsi="宋体" w:cs="宋体"/>
          <w:sz w:val="24"/>
        </w:rPr>
        <w:t>本招标项目要求投标者根据上述要求，将有关资料整理做成标书</w:t>
      </w:r>
      <w:r>
        <w:rPr>
          <w:rFonts w:hint="eastAsia" w:ascii="宋体" w:hAnsi="宋体" w:cs="宋体"/>
          <w:sz w:val="24"/>
          <w:lang w:eastAsia="zh-CN"/>
        </w:rPr>
        <w:t>。</w:t>
      </w:r>
    </w:p>
    <w:p>
      <w:pPr>
        <w:spacing w:line="620" w:lineRule="exact"/>
        <w:ind w:right="70" w:firstLine="562" w:firstLineChars="200"/>
        <w:rPr>
          <w:rFonts w:ascii="宋体" w:hAnsi="宋体" w:cs="宋体"/>
          <w:b/>
          <w:bCs/>
          <w:sz w:val="28"/>
          <w:szCs w:val="28"/>
        </w:rPr>
      </w:pPr>
      <w:r>
        <w:rPr>
          <w:rFonts w:hint="eastAsia" w:ascii="宋体" w:hAnsi="宋体" w:cs="宋体"/>
          <w:b/>
          <w:bCs/>
          <w:sz w:val="28"/>
          <w:szCs w:val="28"/>
        </w:rPr>
        <w:t>四、保密</w:t>
      </w:r>
    </w:p>
    <w:p>
      <w:pPr>
        <w:spacing w:line="620" w:lineRule="exact"/>
        <w:ind w:right="70" w:firstLine="642"/>
        <w:rPr>
          <w:rFonts w:ascii="宋体" w:hAnsi="宋体" w:cs="宋体"/>
          <w:sz w:val="24"/>
        </w:rPr>
      </w:pPr>
      <w:r>
        <w:rPr>
          <w:rFonts w:hint="eastAsia" w:ascii="宋体" w:hAnsi="宋体" w:cs="宋体"/>
          <w:sz w:val="24"/>
        </w:rPr>
        <w:t>招标人提供的招标文件及涉及的所有资料，投标人不得向第三方透露。给招标人造成损失的，将依法追究法律责任。</w:t>
      </w:r>
    </w:p>
    <w:p>
      <w:pPr>
        <w:spacing w:line="620" w:lineRule="exact"/>
        <w:ind w:right="70"/>
        <w:jc w:val="center"/>
        <w:rPr>
          <w:rFonts w:ascii="宋体" w:hAnsi="宋体" w:cs="宋体"/>
          <w:b/>
          <w:bCs/>
          <w:sz w:val="28"/>
          <w:szCs w:val="28"/>
        </w:rPr>
      </w:pPr>
      <w:r>
        <w:rPr>
          <w:rFonts w:hint="eastAsia" w:ascii="宋体" w:hAnsi="宋体" w:cs="宋体"/>
          <w:sz w:val="28"/>
          <w:szCs w:val="28"/>
        </w:rPr>
        <w:t xml:space="preserve">    </w:t>
      </w:r>
    </w:p>
    <w:p>
      <w:pPr>
        <w:spacing w:line="620" w:lineRule="exact"/>
        <w:ind w:right="70"/>
        <w:jc w:val="center"/>
        <w:rPr>
          <w:rFonts w:ascii="宋体" w:hAnsi="宋体" w:cs="宋体"/>
          <w:b/>
          <w:bCs/>
          <w:sz w:val="28"/>
          <w:szCs w:val="28"/>
        </w:rPr>
      </w:pPr>
      <w:r>
        <w:rPr>
          <w:rFonts w:hint="eastAsia" w:ascii="宋体" w:hAnsi="宋体" w:cs="宋体"/>
          <w:b/>
          <w:bCs/>
          <w:sz w:val="28"/>
          <w:szCs w:val="28"/>
        </w:rPr>
        <w:t>第三部分  付款及工期要求</w:t>
      </w:r>
    </w:p>
    <w:p>
      <w:pPr>
        <w:spacing w:line="620" w:lineRule="exact"/>
        <w:ind w:right="70" w:firstLine="562" w:firstLineChars="200"/>
        <w:rPr>
          <w:rFonts w:ascii="宋体" w:hAnsi="宋体" w:cs="宋体"/>
          <w:b/>
          <w:bCs/>
          <w:sz w:val="28"/>
          <w:szCs w:val="28"/>
        </w:rPr>
      </w:pPr>
      <w:r>
        <w:rPr>
          <w:rFonts w:hint="eastAsia" w:ascii="宋体" w:hAnsi="宋体" w:cs="宋体"/>
          <w:b/>
          <w:bCs/>
          <w:sz w:val="28"/>
          <w:szCs w:val="28"/>
        </w:rPr>
        <w:t>一、付款要求</w:t>
      </w:r>
    </w:p>
    <w:p>
      <w:pPr>
        <w:spacing w:line="620" w:lineRule="exact"/>
        <w:ind w:right="70" w:firstLine="480" w:firstLineChars="200"/>
        <w:rPr>
          <w:rFonts w:ascii="宋体" w:hAnsi="宋体" w:cs="宋体"/>
          <w:sz w:val="24"/>
          <w:shd w:val="clear" w:color="FFFFFF" w:fill="D9D9D9"/>
        </w:rPr>
      </w:pPr>
      <w:r>
        <w:rPr>
          <w:rFonts w:hint="eastAsia" w:ascii="宋体" w:hAnsi="宋体" w:cs="宋体"/>
          <w:sz w:val="24"/>
        </w:rPr>
        <w:t>1.付款形式：</w:t>
      </w:r>
      <w:r>
        <w:rPr>
          <w:rFonts w:hint="eastAsia" w:ascii="宋体" w:hAnsi="宋体" w:cs="宋体"/>
          <w:b/>
          <w:bCs/>
          <w:color w:val="00B0F0"/>
          <w:sz w:val="24"/>
          <w:shd w:val="clear" w:color="FFFFFF" w:fill="D9D9D9"/>
        </w:rPr>
        <w:t>电子承兑</w:t>
      </w:r>
    </w:p>
    <w:p>
      <w:pPr>
        <w:spacing w:line="620" w:lineRule="exact"/>
        <w:ind w:right="70" w:firstLine="480" w:firstLineChars="200"/>
        <w:rPr>
          <w:rFonts w:ascii="宋体" w:hAnsi="宋体" w:cs="宋体"/>
          <w:sz w:val="24"/>
        </w:rPr>
      </w:pPr>
      <w:r>
        <w:rPr>
          <w:rFonts w:hint="eastAsia" w:ascii="宋体" w:hAnsi="宋体" w:cs="宋体"/>
          <w:sz w:val="24"/>
        </w:rPr>
        <w:t>2.付款方式：</w:t>
      </w:r>
    </w:p>
    <w:p>
      <w:pPr>
        <w:spacing w:line="620" w:lineRule="exact"/>
        <w:ind w:right="70" w:firstLine="480" w:firstLineChars="200"/>
        <w:rPr>
          <w:rFonts w:hint="eastAsia" w:ascii="宋体" w:hAnsi="宋体" w:cs="宋体"/>
          <w:sz w:val="24"/>
        </w:rPr>
      </w:pPr>
      <w:r>
        <w:rPr>
          <w:rFonts w:hint="eastAsia" w:ascii="宋体" w:hAnsi="宋体" w:cs="宋体"/>
          <w:sz w:val="24"/>
        </w:rPr>
        <w:t>方式一：</w:t>
      </w:r>
      <w:r>
        <w:rPr>
          <w:rFonts w:hint="eastAsia" w:ascii="宋体" w:hAnsi="宋体" w:cs="宋体"/>
          <w:sz w:val="24"/>
          <w:lang w:eastAsia="zh-CN"/>
        </w:rPr>
        <w:t>完成能源审计，编制出能源审计报告通过招远市发改局审核合格备案后付</w:t>
      </w:r>
      <w:r>
        <w:rPr>
          <w:rFonts w:hint="eastAsia" w:ascii="宋体" w:hAnsi="宋体" w:cs="宋体"/>
          <w:sz w:val="24"/>
          <w:lang w:val="en-US" w:eastAsia="zh-CN"/>
        </w:rPr>
        <w:t>10</w:t>
      </w:r>
      <w:r>
        <w:rPr>
          <w:rFonts w:hint="eastAsia" w:ascii="宋体" w:hAnsi="宋体" w:cs="宋体"/>
          <w:sz w:val="24"/>
        </w:rPr>
        <w:t>0%；</w:t>
      </w:r>
    </w:p>
    <w:p>
      <w:pPr>
        <w:spacing w:line="620" w:lineRule="exact"/>
        <w:ind w:right="70" w:firstLine="480" w:firstLineChars="200"/>
        <w:rPr>
          <w:rFonts w:hint="eastAsia" w:ascii="宋体" w:hAnsi="宋体" w:cs="宋体"/>
          <w:sz w:val="24"/>
        </w:rPr>
      </w:pPr>
      <w:r>
        <w:rPr>
          <w:rFonts w:hint="eastAsia" w:ascii="宋体" w:hAnsi="宋体" w:cs="宋体"/>
          <w:sz w:val="24"/>
        </w:rPr>
        <w:t>方式二：①</w:t>
      </w:r>
      <w:r>
        <w:rPr>
          <w:rFonts w:hint="eastAsia" w:ascii="宋体" w:hAnsi="宋体" w:cs="宋体"/>
          <w:sz w:val="24"/>
          <w:lang w:eastAsia="zh-CN"/>
        </w:rPr>
        <w:t>预付</w:t>
      </w:r>
      <w:r>
        <w:rPr>
          <w:rFonts w:hint="eastAsia" w:ascii="宋体" w:hAnsi="宋体" w:cs="宋体"/>
          <w:sz w:val="24"/>
          <w:lang w:val="en-US" w:eastAsia="zh-CN"/>
        </w:rPr>
        <w:t>3</w:t>
      </w:r>
      <w:r>
        <w:rPr>
          <w:rFonts w:hint="eastAsia" w:ascii="宋体" w:hAnsi="宋体" w:cs="宋体"/>
          <w:sz w:val="24"/>
        </w:rPr>
        <w:t>0%；②</w:t>
      </w:r>
      <w:r>
        <w:rPr>
          <w:rFonts w:hint="eastAsia" w:ascii="宋体" w:hAnsi="宋体" w:cs="宋体"/>
          <w:sz w:val="24"/>
          <w:lang w:eastAsia="zh-CN"/>
        </w:rPr>
        <w:t>完成能源审计，编制出能源审计报告通过招远市发改局审核合格备案后付</w:t>
      </w:r>
      <w:r>
        <w:rPr>
          <w:rFonts w:hint="eastAsia" w:ascii="宋体" w:hAnsi="宋体" w:cs="宋体"/>
          <w:sz w:val="24"/>
          <w:lang w:val="en-US" w:eastAsia="zh-CN"/>
        </w:rPr>
        <w:t>7</w:t>
      </w:r>
      <w:r>
        <w:rPr>
          <w:rFonts w:hint="eastAsia" w:ascii="宋体" w:hAnsi="宋体" w:cs="宋体"/>
          <w:sz w:val="24"/>
        </w:rPr>
        <w:t>0%；</w:t>
      </w:r>
    </w:p>
    <w:p>
      <w:pPr>
        <w:spacing w:line="620" w:lineRule="exact"/>
        <w:ind w:right="70" w:firstLine="480" w:firstLineChars="200"/>
        <w:rPr>
          <w:rFonts w:ascii="宋体" w:hAnsi="宋体" w:cs="宋体"/>
          <w:sz w:val="24"/>
        </w:rPr>
      </w:pPr>
      <w:r>
        <w:rPr>
          <w:rFonts w:hint="eastAsia" w:ascii="宋体" w:hAnsi="宋体" w:cs="宋体"/>
          <w:sz w:val="24"/>
        </w:rPr>
        <w:t>方式三：比上述两者更优越的付款条件。</w:t>
      </w:r>
    </w:p>
    <w:p>
      <w:pPr>
        <w:spacing w:line="620" w:lineRule="exact"/>
        <w:ind w:right="70" w:firstLine="562" w:firstLineChars="200"/>
        <w:rPr>
          <w:rFonts w:ascii="宋体" w:hAnsi="宋体" w:cs="宋体"/>
          <w:b/>
          <w:bCs/>
          <w:sz w:val="28"/>
          <w:szCs w:val="28"/>
        </w:rPr>
      </w:pPr>
      <w:r>
        <w:rPr>
          <w:rFonts w:hint="eastAsia" w:ascii="宋体" w:hAnsi="宋体" w:cs="宋体"/>
          <w:b/>
          <w:bCs/>
          <w:sz w:val="28"/>
          <w:szCs w:val="28"/>
        </w:rPr>
        <w:t>二、工期要求</w:t>
      </w:r>
    </w:p>
    <w:p>
      <w:pPr>
        <w:pStyle w:val="33"/>
        <w:spacing w:line="620" w:lineRule="exact"/>
        <w:ind w:left="642" w:right="70" w:firstLine="0" w:firstLineChars="0"/>
        <w:rPr>
          <w:rFonts w:hint="eastAsia" w:ascii="宋体" w:hAnsi="宋体" w:eastAsia="宋体" w:cs="宋体"/>
          <w:sz w:val="24"/>
          <w:shd w:val="clear" w:color="FFFFFF" w:fill="D9D9D9"/>
          <w:lang w:eastAsia="zh-CN"/>
        </w:rPr>
      </w:pPr>
      <w:r>
        <w:rPr>
          <w:rFonts w:hint="eastAsia" w:ascii="宋体" w:hAnsi="宋体" w:cs="宋体"/>
          <w:sz w:val="24"/>
        </w:rPr>
        <w:t>1.交货日期：</w:t>
      </w:r>
      <w:r>
        <w:rPr>
          <w:rFonts w:hint="eastAsia" w:ascii="宋体" w:hAnsi="宋体" w:cs="宋体"/>
          <w:sz w:val="24"/>
          <w:shd w:val="clear" w:color="FFFFFF" w:fill="D9D9D9"/>
        </w:rPr>
        <w:t>2025.</w:t>
      </w:r>
      <w:r>
        <w:rPr>
          <w:rFonts w:hint="eastAsia" w:ascii="宋体" w:hAnsi="宋体" w:cs="宋体"/>
          <w:sz w:val="24"/>
          <w:shd w:val="clear" w:color="FFFFFF" w:fill="D9D9D9"/>
          <w:lang w:val="en-US" w:eastAsia="zh-CN"/>
        </w:rPr>
        <w:t>11</w:t>
      </w:r>
      <w:r>
        <w:rPr>
          <w:rFonts w:hint="eastAsia" w:ascii="宋体" w:hAnsi="宋体" w:cs="宋体"/>
          <w:sz w:val="24"/>
          <w:shd w:val="clear" w:color="FFFFFF" w:fill="D9D9D9"/>
        </w:rPr>
        <w:t>.</w:t>
      </w:r>
      <w:r>
        <w:rPr>
          <w:rFonts w:hint="eastAsia" w:ascii="宋体" w:hAnsi="宋体" w:cs="宋体"/>
          <w:sz w:val="24"/>
          <w:shd w:val="clear" w:color="FFFFFF" w:fill="D9D9D9"/>
          <w:lang w:val="en-US" w:eastAsia="zh-CN"/>
        </w:rPr>
        <w:t>1</w:t>
      </w:r>
      <w:r>
        <w:rPr>
          <w:rFonts w:hint="eastAsia" w:ascii="宋体" w:hAnsi="宋体" w:cs="宋体"/>
          <w:sz w:val="24"/>
          <w:shd w:val="clear" w:color="FFFFFF" w:fill="D9D9D9"/>
        </w:rPr>
        <w:t>日</w:t>
      </w:r>
      <w:r>
        <w:rPr>
          <w:rFonts w:hint="eastAsia" w:ascii="宋体" w:hAnsi="宋体" w:cs="宋体"/>
          <w:sz w:val="24"/>
          <w:shd w:val="clear" w:color="FFFFFF" w:fill="D9D9D9"/>
          <w:lang w:eastAsia="zh-CN"/>
        </w:rPr>
        <w:t>前</w:t>
      </w:r>
    </w:p>
    <w:p>
      <w:pPr>
        <w:pStyle w:val="33"/>
        <w:spacing w:line="620" w:lineRule="exact"/>
        <w:ind w:left="642" w:right="70" w:firstLine="0" w:firstLineChars="0"/>
        <w:rPr>
          <w:rFonts w:ascii="宋体" w:hAnsi="宋体" w:cs="宋体"/>
          <w:sz w:val="24"/>
        </w:rPr>
      </w:pPr>
      <w:r>
        <w:rPr>
          <w:rFonts w:hint="eastAsia" w:ascii="宋体" w:hAnsi="宋体" w:cs="宋体"/>
          <w:sz w:val="24"/>
        </w:rPr>
        <w:t>2.交货地点：招远市</w:t>
      </w:r>
      <w:r>
        <w:rPr>
          <w:rFonts w:hint="eastAsia" w:ascii="宋体" w:hAnsi="宋体" w:cs="宋体"/>
          <w:sz w:val="24"/>
          <w:lang w:eastAsia="zh-CN"/>
        </w:rPr>
        <w:t>国大路</w:t>
      </w:r>
      <w:r>
        <w:rPr>
          <w:rFonts w:hint="eastAsia" w:ascii="宋体" w:hAnsi="宋体" w:cs="宋体"/>
          <w:sz w:val="24"/>
          <w:lang w:val="en-US" w:eastAsia="zh-CN"/>
        </w:rPr>
        <w:t>268</w:t>
      </w:r>
      <w:r>
        <w:rPr>
          <w:rFonts w:hint="eastAsia" w:ascii="宋体" w:hAnsi="宋体" w:cs="宋体"/>
          <w:sz w:val="24"/>
        </w:rPr>
        <w:t>号。</w:t>
      </w:r>
    </w:p>
    <w:p>
      <w:pPr>
        <w:pStyle w:val="33"/>
        <w:spacing w:line="620" w:lineRule="exact"/>
        <w:ind w:left="642" w:right="70" w:firstLine="0" w:firstLineChars="0"/>
        <w:rPr>
          <w:rFonts w:ascii="宋体" w:hAnsi="宋体" w:cs="宋体"/>
          <w:sz w:val="24"/>
        </w:rPr>
      </w:pPr>
      <w:r>
        <w:rPr>
          <w:rFonts w:hint="eastAsia" w:ascii="宋体" w:hAnsi="宋体" w:cs="宋体"/>
          <w:sz w:val="24"/>
        </w:rPr>
        <w:t>三、投标方需现场查看</w:t>
      </w:r>
    </w:p>
    <w:p>
      <w:pPr>
        <w:spacing w:line="620" w:lineRule="exact"/>
        <w:ind w:right="70"/>
        <w:rPr>
          <w:rFonts w:ascii="宋体" w:hAnsi="宋体" w:cs="宋体"/>
          <w:b/>
          <w:bCs/>
          <w:sz w:val="28"/>
          <w:szCs w:val="28"/>
        </w:rPr>
      </w:pPr>
    </w:p>
    <w:p>
      <w:pPr>
        <w:numPr>
          <w:ilvl w:val="0"/>
          <w:numId w:val="2"/>
        </w:numPr>
        <w:spacing w:line="620" w:lineRule="exact"/>
        <w:ind w:right="70"/>
        <w:jc w:val="center"/>
        <w:rPr>
          <w:rFonts w:ascii="宋体" w:hAnsi="宋体" w:cs="宋体"/>
          <w:b/>
          <w:bCs/>
          <w:sz w:val="28"/>
          <w:szCs w:val="28"/>
        </w:rPr>
      </w:pPr>
      <w:r>
        <w:rPr>
          <w:rFonts w:hint="eastAsia" w:ascii="宋体" w:hAnsi="宋体" w:cs="宋体"/>
          <w:b/>
          <w:bCs/>
          <w:sz w:val="28"/>
          <w:szCs w:val="28"/>
        </w:rPr>
        <w:t xml:space="preserve">  </w:t>
      </w:r>
      <w:r>
        <w:rPr>
          <w:rFonts w:hint="eastAsia" w:ascii="宋体" w:hAnsi="宋体" w:cs="宋体"/>
          <w:b/>
          <w:bCs/>
          <w:sz w:val="28"/>
          <w:szCs w:val="28"/>
          <w:lang w:eastAsia="zh-CN"/>
        </w:rPr>
        <w:t>能源审计</w:t>
      </w:r>
      <w:r>
        <w:rPr>
          <w:rFonts w:hint="eastAsia" w:ascii="宋体" w:hAnsi="宋体" w:cs="宋体"/>
          <w:b/>
          <w:bCs/>
          <w:sz w:val="28"/>
          <w:szCs w:val="28"/>
        </w:rPr>
        <w:t>说明及技术指标、要求</w:t>
      </w:r>
    </w:p>
    <w:p>
      <w:pPr>
        <w:spacing w:line="620" w:lineRule="exact"/>
        <w:ind w:right="70"/>
        <w:rPr>
          <w:rFonts w:ascii="宋体" w:hAnsi="宋体" w:cs="宋体"/>
          <w:b/>
          <w:bCs/>
          <w:sz w:val="28"/>
          <w:szCs w:val="28"/>
        </w:rPr>
      </w:pPr>
      <w:r>
        <w:rPr>
          <w:rFonts w:hint="eastAsia" w:ascii="宋体" w:hAnsi="宋体" w:cs="宋体"/>
          <w:b/>
          <w:bCs/>
          <w:sz w:val="28"/>
          <w:szCs w:val="28"/>
        </w:rPr>
        <w:t>一、标的描述</w:t>
      </w:r>
    </w:p>
    <w:p>
      <w:pPr>
        <w:spacing w:line="620" w:lineRule="exact"/>
        <w:ind w:right="70" w:firstLine="240" w:firstLineChars="100"/>
        <w:rPr>
          <w:rFonts w:hint="eastAsia" w:ascii="宋体" w:hAnsi="宋体" w:eastAsia="宋体" w:cs="宋体"/>
          <w:sz w:val="24"/>
          <w:lang w:eastAsia="zh-CN"/>
        </w:rPr>
      </w:pPr>
      <w:r>
        <w:rPr>
          <w:rFonts w:hint="eastAsia" w:ascii="宋体" w:hAnsi="宋体" w:cs="宋体"/>
          <w:sz w:val="24"/>
        </w:rPr>
        <w:t>1、项目名称：</w:t>
      </w:r>
      <w:r>
        <w:rPr>
          <w:rFonts w:hint="eastAsia" w:asciiTheme="minorEastAsia" w:hAnsiTheme="minorEastAsia" w:eastAsiaTheme="minorEastAsia" w:cstheme="minorEastAsia"/>
          <w:spacing w:val="10"/>
          <w:sz w:val="28"/>
          <w:szCs w:val="28"/>
          <w:u w:val="single"/>
          <w:lang w:eastAsia="zh-CN"/>
        </w:rPr>
        <w:t>能源审计</w:t>
      </w:r>
    </w:p>
    <w:p>
      <w:pPr>
        <w:spacing w:line="620" w:lineRule="exact"/>
        <w:ind w:right="70"/>
        <w:rPr>
          <w:rFonts w:ascii="宋体" w:hAnsi="宋体" w:cs="宋体"/>
          <w:b/>
          <w:bCs/>
          <w:sz w:val="28"/>
          <w:szCs w:val="28"/>
        </w:rPr>
      </w:pPr>
      <w:r>
        <w:rPr>
          <w:rFonts w:hint="eastAsia" w:ascii="宋体" w:hAnsi="宋体" w:cs="宋体"/>
          <w:b/>
          <w:bCs/>
          <w:sz w:val="28"/>
          <w:szCs w:val="28"/>
        </w:rPr>
        <w:t>二、</w:t>
      </w:r>
      <w:r>
        <w:rPr>
          <w:rFonts w:hint="eastAsia" w:ascii="宋体" w:hAnsi="宋体" w:cs="宋体"/>
          <w:b/>
          <w:bCs/>
          <w:sz w:val="28"/>
          <w:szCs w:val="28"/>
          <w:lang w:eastAsia="zh-CN"/>
        </w:rPr>
        <w:t>能源审计边界</w:t>
      </w:r>
      <w:r>
        <w:rPr>
          <w:rFonts w:hint="eastAsia" w:ascii="宋体" w:hAnsi="宋体" w:cs="宋体"/>
          <w:b/>
          <w:bCs/>
          <w:sz w:val="28"/>
          <w:szCs w:val="28"/>
        </w:rPr>
        <w:t>：</w:t>
      </w:r>
    </w:p>
    <w:p>
      <w:pPr>
        <w:pStyle w:val="13"/>
        <w:ind w:firstLine="240"/>
        <w:rPr>
          <w:rFonts w:hint="default" w:ascii="宋体" w:hAnsi="宋体" w:eastAsia="宋体" w:cs="宋体"/>
          <w:szCs w:val="24"/>
          <w:lang w:val="en-US" w:eastAsia="zh-CN"/>
        </w:rPr>
      </w:pPr>
      <w:r>
        <w:rPr>
          <w:rFonts w:hint="eastAsia" w:ascii="宋体" w:hAnsi="宋体" w:cs="宋体"/>
          <w:b/>
          <w:bCs/>
          <w:sz w:val="24"/>
        </w:rPr>
        <w:t xml:space="preserve"> </w:t>
      </w:r>
      <w:r>
        <w:rPr>
          <w:rFonts w:hint="eastAsia" w:ascii="宋体" w:hAnsi="宋体" w:cs="宋体"/>
          <w:sz w:val="24"/>
          <w:lang w:eastAsia="zh-CN"/>
        </w:rPr>
        <w:t>本次能源审计主体：山东金宝电子有限公司，覆盖以下范围（边界）：国大路厂北厂、南厂（位于招远市国大路</w:t>
      </w:r>
      <w:r>
        <w:rPr>
          <w:rFonts w:hint="eastAsia" w:ascii="宋体" w:hAnsi="宋体" w:cs="宋体"/>
          <w:sz w:val="24"/>
          <w:lang w:val="en-US" w:eastAsia="zh-CN"/>
        </w:rPr>
        <w:t>268号</w:t>
      </w:r>
      <w:r>
        <w:rPr>
          <w:rFonts w:hint="eastAsia" w:ascii="宋体" w:hAnsi="宋体" w:cs="宋体"/>
          <w:sz w:val="24"/>
          <w:lang w:eastAsia="zh-CN"/>
        </w:rPr>
        <w:t>）、天府路厂（位于温泉路</w:t>
      </w:r>
      <w:r>
        <w:rPr>
          <w:rFonts w:hint="eastAsia" w:ascii="宋体" w:hAnsi="宋体" w:cs="宋体"/>
          <w:sz w:val="24"/>
          <w:lang w:val="en-US" w:eastAsia="zh-CN"/>
        </w:rPr>
        <w:t>128号</w:t>
      </w:r>
      <w:r>
        <w:rPr>
          <w:rFonts w:hint="eastAsia" w:ascii="宋体" w:hAnsi="宋体" w:cs="宋体"/>
          <w:sz w:val="24"/>
          <w:lang w:eastAsia="zh-CN"/>
        </w:rPr>
        <w:t>）、金源路厂（位于招远市金源路</w:t>
      </w:r>
      <w:r>
        <w:rPr>
          <w:rFonts w:hint="eastAsia" w:ascii="宋体" w:hAnsi="宋体" w:cs="宋体"/>
          <w:sz w:val="24"/>
          <w:lang w:val="en-US" w:eastAsia="zh-CN"/>
        </w:rPr>
        <w:t>39号</w:t>
      </w:r>
      <w:r>
        <w:rPr>
          <w:rFonts w:hint="eastAsia" w:ascii="宋体" w:hAnsi="宋体" w:cs="宋体"/>
          <w:sz w:val="24"/>
          <w:lang w:eastAsia="zh-CN"/>
        </w:rPr>
        <w:t>）。</w:t>
      </w:r>
    </w:p>
    <w:p>
      <w:pPr>
        <w:pStyle w:val="13"/>
        <w:ind w:firstLine="240"/>
        <w:rPr>
          <w:rFonts w:ascii="宋体" w:hAnsi="宋体" w:cs="宋体"/>
          <w:szCs w:val="24"/>
        </w:rPr>
      </w:pPr>
      <w:r>
        <w:rPr>
          <w:rFonts w:hint="eastAsia" w:ascii="宋体" w:hAnsi="宋体" w:cs="宋体"/>
          <w:szCs w:val="24"/>
        </w:rPr>
        <w:t>三、报价单</w:t>
      </w:r>
      <w:r>
        <w:rPr>
          <w:rFonts w:hint="eastAsia" w:ascii="宋体" w:hAnsi="宋体" w:cs="宋体"/>
          <w:szCs w:val="24"/>
          <w:lang w:eastAsia="zh-CN"/>
        </w:rPr>
        <w:t>（</w:t>
      </w:r>
      <w:r>
        <w:rPr>
          <w:rFonts w:hint="eastAsia" w:ascii="宋体" w:hAnsi="宋体" w:cs="宋体"/>
          <w:szCs w:val="24"/>
          <w:lang w:val="en-US" w:eastAsia="zh-CN"/>
        </w:rPr>
        <w:t>附模板</w:t>
      </w:r>
      <w:r>
        <w:rPr>
          <w:rFonts w:hint="eastAsia" w:ascii="宋体" w:hAnsi="宋体" w:cs="宋体"/>
          <w:szCs w:val="24"/>
          <w:lang w:eastAsia="zh-CN"/>
        </w:rPr>
        <w:t>）</w:t>
      </w:r>
      <w:r>
        <w:rPr>
          <w:rFonts w:hint="eastAsia" w:ascii="宋体" w:hAnsi="宋体" w:cs="宋体"/>
          <w:szCs w:val="24"/>
        </w:rPr>
        <w:t>：</w:t>
      </w:r>
    </w:p>
    <w:tbl>
      <w:tblPr>
        <w:tblStyle w:val="1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8"/>
        <w:gridCol w:w="2008"/>
        <w:gridCol w:w="1004"/>
        <w:gridCol w:w="1235"/>
        <w:gridCol w:w="1239"/>
        <w:gridCol w:w="1926"/>
        <w:gridCol w:w="1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tcPr>
          <w:p>
            <w:pPr>
              <w:pStyle w:val="13"/>
              <w:keepNext w:val="0"/>
              <w:keepLines w:val="0"/>
              <w:pageBreakBefore w:val="0"/>
              <w:widowControl w:val="0"/>
              <w:kinsoku/>
              <w:wordWrap/>
              <w:overflowPunct/>
              <w:autoSpaceDE/>
              <w:autoSpaceDN/>
              <w:bidi w:val="0"/>
              <w:adjustRightInd/>
              <w:snapToGrid/>
              <w:spacing w:after="0"/>
              <w:ind w:firstLine="0" w:firstLineChars="0"/>
              <w:textAlignment w:val="auto"/>
              <w:rPr>
                <w:rFonts w:ascii="宋体" w:hAnsi="宋体" w:cs="宋体"/>
                <w:sz w:val="20"/>
                <w:szCs w:val="20"/>
              </w:rPr>
            </w:pPr>
            <w:r>
              <w:rPr>
                <w:rFonts w:hint="eastAsia" w:ascii="宋体" w:hAnsi="宋体" w:cs="宋体"/>
                <w:color w:val="000000"/>
                <w:sz w:val="20"/>
                <w:szCs w:val="20"/>
                <w:lang w:bidi="ar"/>
              </w:rPr>
              <w:t>序号</w:t>
            </w:r>
          </w:p>
        </w:tc>
        <w:tc>
          <w:tcPr>
            <w:tcW w:w="1008" w:type="pct"/>
          </w:tcPr>
          <w:p>
            <w:pPr>
              <w:pStyle w:val="13"/>
              <w:keepNext w:val="0"/>
              <w:keepLines w:val="0"/>
              <w:pageBreakBefore w:val="0"/>
              <w:widowControl w:val="0"/>
              <w:kinsoku/>
              <w:wordWrap/>
              <w:overflowPunct/>
              <w:autoSpaceDE/>
              <w:autoSpaceDN/>
              <w:bidi w:val="0"/>
              <w:adjustRightInd/>
              <w:snapToGrid/>
              <w:spacing w:after="0"/>
              <w:ind w:firstLine="150"/>
              <w:textAlignment w:val="auto"/>
              <w:rPr>
                <w:rFonts w:ascii="宋体" w:hAnsi="宋体" w:cs="宋体"/>
                <w:sz w:val="20"/>
                <w:szCs w:val="20"/>
              </w:rPr>
            </w:pPr>
            <w:r>
              <w:rPr>
                <w:rFonts w:hint="eastAsia" w:ascii="宋体" w:hAnsi="宋体" w:cs="宋体"/>
                <w:color w:val="000000"/>
                <w:sz w:val="20"/>
                <w:szCs w:val="20"/>
                <w:lang w:bidi="ar"/>
              </w:rPr>
              <w:t>名称</w:t>
            </w:r>
          </w:p>
        </w:tc>
        <w:tc>
          <w:tcPr>
            <w:tcW w:w="504" w:type="pct"/>
          </w:tcPr>
          <w:p>
            <w:pPr>
              <w:pStyle w:val="13"/>
              <w:keepNext w:val="0"/>
              <w:keepLines w:val="0"/>
              <w:pageBreakBefore w:val="0"/>
              <w:widowControl w:val="0"/>
              <w:kinsoku/>
              <w:wordWrap/>
              <w:overflowPunct/>
              <w:autoSpaceDE/>
              <w:autoSpaceDN/>
              <w:bidi w:val="0"/>
              <w:adjustRightInd/>
              <w:snapToGrid/>
              <w:spacing w:after="0"/>
              <w:ind w:firstLine="150"/>
              <w:textAlignment w:val="auto"/>
              <w:rPr>
                <w:rFonts w:ascii="宋体" w:hAnsi="宋体" w:cs="宋体"/>
                <w:sz w:val="20"/>
                <w:szCs w:val="20"/>
              </w:rPr>
            </w:pPr>
            <w:r>
              <w:rPr>
                <w:rFonts w:hint="eastAsia" w:ascii="宋体" w:hAnsi="宋体" w:cs="宋体"/>
                <w:color w:val="000000"/>
                <w:sz w:val="20"/>
                <w:szCs w:val="20"/>
                <w:lang w:bidi="ar"/>
              </w:rPr>
              <w:t>单位</w:t>
            </w:r>
          </w:p>
        </w:tc>
        <w:tc>
          <w:tcPr>
            <w:tcW w:w="620" w:type="pct"/>
          </w:tcPr>
          <w:p>
            <w:pPr>
              <w:pStyle w:val="13"/>
              <w:keepNext w:val="0"/>
              <w:keepLines w:val="0"/>
              <w:pageBreakBefore w:val="0"/>
              <w:widowControl w:val="0"/>
              <w:kinsoku/>
              <w:wordWrap/>
              <w:overflowPunct/>
              <w:autoSpaceDE/>
              <w:autoSpaceDN/>
              <w:bidi w:val="0"/>
              <w:adjustRightInd/>
              <w:snapToGrid/>
              <w:spacing w:after="0"/>
              <w:ind w:firstLine="150"/>
              <w:textAlignment w:val="auto"/>
              <w:rPr>
                <w:rFonts w:ascii="宋体" w:hAnsi="宋体" w:cs="宋体"/>
                <w:sz w:val="20"/>
                <w:szCs w:val="20"/>
              </w:rPr>
            </w:pPr>
            <w:r>
              <w:rPr>
                <w:rFonts w:hint="eastAsia" w:ascii="宋体" w:hAnsi="宋体" w:cs="宋体"/>
                <w:color w:val="000000"/>
                <w:sz w:val="20"/>
                <w:szCs w:val="20"/>
                <w:lang w:bidi="ar"/>
              </w:rPr>
              <w:t>数量</w:t>
            </w:r>
          </w:p>
        </w:tc>
        <w:tc>
          <w:tcPr>
            <w:tcW w:w="622" w:type="pct"/>
          </w:tcPr>
          <w:p>
            <w:pPr>
              <w:pStyle w:val="13"/>
              <w:keepNext w:val="0"/>
              <w:keepLines w:val="0"/>
              <w:pageBreakBefore w:val="0"/>
              <w:widowControl w:val="0"/>
              <w:kinsoku/>
              <w:wordWrap/>
              <w:overflowPunct/>
              <w:autoSpaceDE/>
              <w:autoSpaceDN/>
              <w:bidi w:val="0"/>
              <w:adjustRightInd/>
              <w:snapToGrid/>
              <w:spacing w:after="0"/>
              <w:ind w:firstLine="150"/>
              <w:textAlignment w:val="auto"/>
              <w:rPr>
                <w:rFonts w:ascii="宋体" w:hAnsi="宋体" w:cs="宋体"/>
                <w:sz w:val="20"/>
                <w:szCs w:val="20"/>
              </w:rPr>
            </w:pPr>
            <w:r>
              <w:rPr>
                <w:rFonts w:hint="eastAsia" w:ascii="宋体" w:hAnsi="宋体" w:cs="宋体"/>
                <w:color w:val="000000"/>
                <w:sz w:val="20"/>
                <w:szCs w:val="20"/>
                <w:lang w:bidi="ar"/>
              </w:rPr>
              <w:t>单价</w:t>
            </w:r>
          </w:p>
        </w:tc>
        <w:tc>
          <w:tcPr>
            <w:tcW w:w="967" w:type="pct"/>
          </w:tcPr>
          <w:p>
            <w:pPr>
              <w:pStyle w:val="13"/>
              <w:keepNext w:val="0"/>
              <w:keepLines w:val="0"/>
              <w:pageBreakBefore w:val="0"/>
              <w:widowControl w:val="0"/>
              <w:kinsoku/>
              <w:wordWrap/>
              <w:overflowPunct/>
              <w:autoSpaceDE/>
              <w:autoSpaceDN/>
              <w:bidi w:val="0"/>
              <w:adjustRightInd/>
              <w:snapToGrid/>
              <w:spacing w:after="0"/>
              <w:ind w:firstLine="150"/>
              <w:textAlignment w:val="auto"/>
              <w:rPr>
                <w:rFonts w:hint="eastAsia" w:ascii="宋体" w:hAnsi="宋体" w:eastAsia="宋体" w:cs="宋体"/>
                <w:sz w:val="20"/>
                <w:szCs w:val="20"/>
                <w:lang w:eastAsia="zh-CN"/>
              </w:rPr>
            </w:pPr>
            <w:r>
              <w:rPr>
                <w:rFonts w:hint="eastAsia" w:ascii="宋体" w:hAnsi="宋体" w:cs="宋体"/>
                <w:sz w:val="20"/>
                <w:szCs w:val="20"/>
                <w:lang w:eastAsia="zh-CN"/>
              </w:rPr>
              <w:t>总价</w:t>
            </w:r>
          </w:p>
        </w:tc>
        <w:tc>
          <w:tcPr>
            <w:tcW w:w="960" w:type="pct"/>
          </w:tcPr>
          <w:p>
            <w:pPr>
              <w:pStyle w:val="13"/>
              <w:keepNext w:val="0"/>
              <w:keepLines w:val="0"/>
              <w:pageBreakBefore w:val="0"/>
              <w:widowControl w:val="0"/>
              <w:kinsoku/>
              <w:wordWrap/>
              <w:overflowPunct/>
              <w:autoSpaceDE/>
              <w:autoSpaceDN/>
              <w:bidi w:val="0"/>
              <w:adjustRightInd/>
              <w:snapToGrid/>
              <w:spacing w:after="0"/>
              <w:ind w:firstLine="150"/>
              <w:textAlignment w:val="auto"/>
              <w:rPr>
                <w:rFonts w:hint="eastAsia" w:ascii="宋体" w:hAnsi="宋体" w:eastAsia="宋体" w:cs="宋体"/>
                <w:color w:val="000000"/>
                <w:sz w:val="20"/>
                <w:szCs w:val="20"/>
                <w:lang w:eastAsia="zh-CN" w:bidi="ar"/>
              </w:rPr>
            </w:pPr>
            <w:r>
              <w:rPr>
                <w:rFonts w:hint="eastAsia" w:ascii="宋体" w:hAnsi="宋体" w:cs="宋体"/>
                <w:color w:val="000000"/>
                <w:sz w:val="20"/>
                <w:szCs w:val="20"/>
                <w:lang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316" w:type="pct"/>
          </w:tcPr>
          <w:p>
            <w:pPr>
              <w:pStyle w:val="13"/>
              <w:keepNext w:val="0"/>
              <w:keepLines w:val="0"/>
              <w:pageBreakBefore w:val="0"/>
              <w:widowControl w:val="0"/>
              <w:kinsoku/>
              <w:wordWrap/>
              <w:overflowPunct/>
              <w:autoSpaceDE/>
              <w:autoSpaceDN/>
              <w:bidi w:val="0"/>
              <w:adjustRightInd/>
              <w:snapToGrid/>
              <w:spacing w:after="0"/>
              <w:ind w:firstLine="130"/>
              <w:textAlignment w:val="auto"/>
              <w:rPr>
                <w:rFonts w:ascii="宋体" w:hAnsi="宋体" w:cs="宋体"/>
                <w:color w:val="000000"/>
                <w:sz w:val="18"/>
                <w:szCs w:val="18"/>
                <w:lang w:bidi="ar"/>
              </w:rPr>
            </w:pPr>
            <w:r>
              <w:rPr>
                <w:rFonts w:hint="eastAsia" w:ascii="宋体" w:hAnsi="宋体" w:cs="宋体"/>
                <w:color w:val="000000"/>
                <w:sz w:val="18"/>
                <w:szCs w:val="18"/>
                <w:lang w:bidi="ar"/>
              </w:rPr>
              <w:t>1</w:t>
            </w:r>
          </w:p>
        </w:tc>
        <w:tc>
          <w:tcPr>
            <w:tcW w:w="1008" w:type="pct"/>
          </w:tcPr>
          <w:p>
            <w:pPr>
              <w:pStyle w:val="13"/>
              <w:keepNext w:val="0"/>
              <w:keepLines w:val="0"/>
              <w:pageBreakBefore w:val="0"/>
              <w:widowControl w:val="0"/>
              <w:kinsoku/>
              <w:wordWrap/>
              <w:overflowPunct/>
              <w:autoSpaceDE/>
              <w:autoSpaceDN/>
              <w:bidi w:val="0"/>
              <w:adjustRightInd/>
              <w:snapToGrid/>
              <w:spacing w:after="0"/>
              <w:ind w:firstLine="0" w:firstLineChars="0"/>
              <w:jc w:val="center"/>
              <w:textAlignment w:val="auto"/>
              <w:rPr>
                <w:rFonts w:hint="eastAsia" w:ascii="宋体" w:hAnsi="宋体" w:eastAsia="宋体" w:cs="宋体"/>
                <w:color w:val="000000"/>
                <w:sz w:val="18"/>
                <w:szCs w:val="18"/>
                <w:lang w:eastAsia="zh-CN" w:bidi="ar"/>
              </w:rPr>
            </w:pPr>
            <w:r>
              <w:rPr>
                <w:rFonts w:hint="eastAsia" w:ascii="宋体" w:hAnsi="宋体" w:cs="宋体"/>
                <w:color w:val="000000"/>
                <w:sz w:val="18"/>
                <w:szCs w:val="18"/>
                <w:lang w:eastAsia="zh-CN" w:bidi="ar"/>
              </w:rPr>
              <w:t>能源审计</w:t>
            </w:r>
          </w:p>
        </w:tc>
        <w:tc>
          <w:tcPr>
            <w:tcW w:w="504" w:type="pct"/>
          </w:tcPr>
          <w:p>
            <w:pPr>
              <w:pStyle w:val="13"/>
              <w:keepNext w:val="0"/>
              <w:keepLines w:val="0"/>
              <w:pageBreakBefore w:val="0"/>
              <w:widowControl w:val="0"/>
              <w:kinsoku/>
              <w:wordWrap/>
              <w:overflowPunct/>
              <w:autoSpaceDE/>
              <w:autoSpaceDN/>
              <w:bidi w:val="0"/>
              <w:adjustRightInd/>
              <w:snapToGrid/>
              <w:spacing w:after="0"/>
              <w:ind w:firstLine="130"/>
              <w:jc w:val="center"/>
              <w:textAlignment w:val="auto"/>
              <w:rPr>
                <w:rFonts w:hint="eastAsia" w:ascii="宋体" w:hAnsi="宋体" w:eastAsia="宋体" w:cs="宋体"/>
                <w:color w:val="000000"/>
                <w:sz w:val="18"/>
                <w:szCs w:val="18"/>
                <w:lang w:eastAsia="zh-CN" w:bidi="ar"/>
              </w:rPr>
            </w:pPr>
            <w:r>
              <w:rPr>
                <w:rFonts w:hint="eastAsia" w:ascii="宋体" w:hAnsi="宋体" w:cs="宋体"/>
                <w:color w:val="000000"/>
                <w:sz w:val="18"/>
                <w:szCs w:val="18"/>
                <w:lang w:eastAsia="zh-CN" w:bidi="ar"/>
              </w:rPr>
              <w:t>项</w:t>
            </w:r>
          </w:p>
        </w:tc>
        <w:tc>
          <w:tcPr>
            <w:tcW w:w="620" w:type="pct"/>
          </w:tcPr>
          <w:p>
            <w:pPr>
              <w:pStyle w:val="13"/>
              <w:keepNext w:val="0"/>
              <w:keepLines w:val="0"/>
              <w:pageBreakBefore w:val="0"/>
              <w:widowControl w:val="0"/>
              <w:kinsoku/>
              <w:wordWrap/>
              <w:overflowPunct/>
              <w:autoSpaceDE/>
              <w:autoSpaceDN/>
              <w:bidi w:val="0"/>
              <w:adjustRightInd/>
              <w:snapToGrid/>
              <w:spacing w:after="0"/>
              <w:ind w:firstLine="130"/>
              <w:jc w:val="center"/>
              <w:textAlignment w:val="auto"/>
              <w:rPr>
                <w:rFonts w:hint="eastAsia" w:ascii="宋体" w:hAnsi="宋体" w:eastAsia="宋体" w:cs="宋体"/>
                <w:color w:val="000000"/>
                <w:sz w:val="18"/>
                <w:szCs w:val="18"/>
                <w:lang w:val="en-US" w:eastAsia="zh-CN" w:bidi="ar"/>
              </w:rPr>
            </w:pPr>
            <w:r>
              <w:rPr>
                <w:rFonts w:hint="eastAsia" w:ascii="宋体" w:hAnsi="宋体" w:cs="宋体"/>
                <w:color w:val="000000"/>
                <w:sz w:val="18"/>
                <w:szCs w:val="18"/>
                <w:lang w:val="en-US" w:eastAsia="zh-CN" w:bidi="ar"/>
              </w:rPr>
              <w:t>1</w:t>
            </w:r>
          </w:p>
        </w:tc>
        <w:tc>
          <w:tcPr>
            <w:tcW w:w="622" w:type="pct"/>
          </w:tcPr>
          <w:p>
            <w:pPr>
              <w:pStyle w:val="13"/>
              <w:keepNext w:val="0"/>
              <w:keepLines w:val="0"/>
              <w:pageBreakBefore w:val="0"/>
              <w:widowControl w:val="0"/>
              <w:kinsoku/>
              <w:wordWrap/>
              <w:overflowPunct/>
              <w:autoSpaceDE/>
              <w:autoSpaceDN/>
              <w:bidi w:val="0"/>
              <w:adjustRightInd/>
              <w:snapToGrid/>
              <w:spacing w:after="0"/>
              <w:ind w:firstLine="130"/>
              <w:jc w:val="center"/>
              <w:textAlignment w:val="auto"/>
              <w:rPr>
                <w:rFonts w:ascii="宋体" w:hAnsi="宋体" w:cs="宋体"/>
                <w:color w:val="000000"/>
                <w:sz w:val="18"/>
                <w:szCs w:val="18"/>
                <w:lang w:bidi="ar"/>
              </w:rPr>
            </w:pPr>
          </w:p>
        </w:tc>
        <w:tc>
          <w:tcPr>
            <w:tcW w:w="967" w:type="pct"/>
          </w:tcPr>
          <w:p>
            <w:pPr>
              <w:pStyle w:val="13"/>
              <w:keepNext w:val="0"/>
              <w:keepLines w:val="0"/>
              <w:pageBreakBefore w:val="0"/>
              <w:widowControl w:val="0"/>
              <w:kinsoku/>
              <w:wordWrap/>
              <w:overflowPunct/>
              <w:autoSpaceDE/>
              <w:autoSpaceDN/>
              <w:bidi w:val="0"/>
              <w:adjustRightInd/>
              <w:snapToGrid/>
              <w:spacing w:after="0"/>
              <w:ind w:firstLine="130"/>
              <w:jc w:val="center"/>
              <w:textAlignment w:val="auto"/>
              <w:rPr>
                <w:rFonts w:ascii="宋体" w:hAnsi="宋体" w:cs="宋体"/>
                <w:color w:val="000000"/>
                <w:sz w:val="18"/>
                <w:szCs w:val="18"/>
                <w:lang w:bidi="ar"/>
              </w:rPr>
            </w:pPr>
          </w:p>
        </w:tc>
        <w:tc>
          <w:tcPr>
            <w:tcW w:w="960" w:type="pct"/>
          </w:tcPr>
          <w:p>
            <w:pPr>
              <w:pStyle w:val="13"/>
              <w:keepNext w:val="0"/>
              <w:keepLines w:val="0"/>
              <w:pageBreakBefore w:val="0"/>
              <w:widowControl w:val="0"/>
              <w:kinsoku/>
              <w:wordWrap/>
              <w:overflowPunct/>
              <w:autoSpaceDE/>
              <w:autoSpaceDN/>
              <w:bidi w:val="0"/>
              <w:adjustRightInd/>
              <w:snapToGrid/>
              <w:spacing w:after="0"/>
              <w:ind w:firstLine="130"/>
              <w:jc w:val="center"/>
              <w:textAlignment w:val="auto"/>
              <w:rPr>
                <w:rFonts w:ascii="宋体" w:hAnsi="宋体" w:cs="宋体"/>
                <w:color w:val="00000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tcPr>
          <w:p>
            <w:pPr>
              <w:pStyle w:val="13"/>
              <w:keepNext w:val="0"/>
              <w:keepLines w:val="0"/>
              <w:pageBreakBefore w:val="0"/>
              <w:widowControl w:val="0"/>
              <w:kinsoku/>
              <w:wordWrap/>
              <w:overflowPunct/>
              <w:autoSpaceDE/>
              <w:autoSpaceDN/>
              <w:bidi w:val="0"/>
              <w:adjustRightInd/>
              <w:snapToGrid/>
              <w:spacing w:after="0"/>
              <w:ind w:firstLine="130"/>
              <w:textAlignment w:val="auto"/>
              <w:rPr>
                <w:rFonts w:ascii="宋体" w:hAnsi="宋体" w:cs="宋体"/>
                <w:color w:val="000000"/>
                <w:sz w:val="18"/>
                <w:szCs w:val="18"/>
                <w:lang w:bidi="ar"/>
              </w:rPr>
            </w:pPr>
            <w:r>
              <w:rPr>
                <w:rFonts w:hint="eastAsia" w:ascii="宋体" w:hAnsi="宋体" w:cs="宋体"/>
                <w:color w:val="000000"/>
                <w:sz w:val="18"/>
                <w:szCs w:val="18"/>
                <w:lang w:bidi="ar"/>
              </w:rPr>
              <w:t>2</w:t>
            </w:r>
          </w:p>
        </w:tc>
        <w:tc>
          <w:tcPr>
            <w:tcW w:w="1008" w:type="pct"/>
          </w:tcPr>
          <w:p>
            <w:pPr>
              <w:pStyle w:val="13"/>
              <w:keepNext w:val="0"/>
              <w:keepLines w:val="0"/>
              <w:pageBreakBefore w:val="0"/>
              <w:widowControl w:val="0"/>
              <w:kinsoku/>
              <w:wordWrap/>
              <w:overflowPunct/>
              <w:autoSpaceDE/>
              <w:autoSpaceDN/>
              <w:bidi w:val="0"/>
              <w:adjustRightInd/>
              <w:snapToGrid/>
              <w:spacing w:after="0"/>
              <w:ind w:firstLine="0" w:firstLineChars="0"/>
              <w:jc w:val="center"/>
              <w:textAlignment w:val="auto"/>
              <w:rPr>
                <w:rFonts w:hint="eastAsia" w:ascii="宋体" w:hAnsi="宋体" w:eastAsia="宋体" w:cs="宋体"/>
                <w:color w:val="000000"/>
                <w:sz w:val="18"/>
                <w:szCs w:val="18"/>
                <w:lang w:eastAsia="zh-CN" w:bidi="ar"/>
              </w:rPr>
            </w:pPr>
            <w:r>
              <w:rPr>
                <w:rFonts w:hint="eastAsia" w:ascii="宋体" w:hAnsi="宋体" w:cs="宋体"/>
                <w:color w:val="000000"/>
                <w:sz w:val="18"/>
                <w:szCs w:val="18"/>
                <w:lang w:eastAsia="zh-CN" w:bidi="ar"/>
              </w:rPr>
              <w:t>其</w:t>
            </w:r>
            <w:r>
              <w:rPr>
                <w:rFonts w:hint="eastAsia" w:ascii="宋体" w:hAnsi="宋体" w:cs="宋体"/>
                <w:color w:val="000000"/>
                <w:sz w:val="18"/>
                <w:szCs w:val="18"/>
                <w:lang w:val="en-US" w:eastAsia="zh-CN" w:bidi="ar"/>
              </w:rPr>
              <w:t xml:space="preserve">  </w:t>
            </w:r>
            <w:r>
              <w:rPr>
                <w:rFonts w:hint="eastAsia" w:ascii="宋体" w:hAnsi="宋体" w:cs="宋体"/>
                <w:color w:val="000000"/>
                <w:sz w:val="18"/>
                <w:szCs w:val="18"/>
                <w:lang w:eastAsia="zh-CN" w:bidi="ar"/>
              </w:rPr>
              <w:t>他</w:t>
            </w:r>
          </w:p>
        </w:tc>
        <w:tc>
          <w:tcPr>
            <w:tcW w:w="504" w:type="pct"/>
          </w:tcPr>
          <w:p>
            <w:pPr>
              <w:pStyle w:val="13"/>
              <w:keepNext w:val="0"/>
              <w:keepLines w:val="0"/>
              <w:pageBreakBefore w:val="0"/>
              <w:widowControl w:val="0"/>
              <w:kinsoku/>
              <w:wordWrap/>
              <w:overflowPunct/>
              <w:autoSpaceDE/>
              <w:autoSpaceDN/>
              <w:bidi w:val="0"/>
              <w:adjustRightInd/>
              <w:snapToGrid/>
              <w:spacing w:after="0"/>
              <w:ind w:firstLine="130"/>
              <w:jc w:val="center"/>
              <w:textAlignment w:val="auto"/>
              <w:rPr>
                <w:rFonts w:ascii="宋体" w:hAnsi="宋体" w:cs="宋体"/>
                <w:color w:val="000000"/>
                <w:sz w:val="18"/>
                <w:szCs w:val="18"/>
                <w:lang w:bidi="ar"/>
              </w:rPr>
            </w:pPr>
          </w:p>
        </w:tc>
        <w:tc>
          <w:tcPr>
            <w:tcW w:w="620" w:type="pct"/>
          </w:tcPr>
          <w:p>
            <w:pPr>
              <w:pStyle w:val="13"/>
              <w:keepNext w:val="0"/>
              <w:keepLines w:val="0"/>
              <w:pageBreakBefore w:val="0"/>
              <w:widowControl w:val="0"/>
              <w:kinsoku/>
              <w:wordWrap/>
              <w:overflowPunct/>
              <w:autoSpaceDE/>
              <w:autoSpaceDN/>
              <w:bidi w:val="0"/>
              <w:adjustRightInd/>
              <w:snapToGrid/>
              <w:spacing w:after="0"/>
              <w:ind w:firstLine="130"/>
              <w:jc w:val="center"/>
              <w:textAlignment w:val="auto"/>
              <w:rPr>
                <w:rFonts w:ascii="宋体" w:hAnsi="宋体" w:cs="宋体"/>
                <w:color w:val="000000"/>
                <w:sz w:val="18"/>
                <w:szCs w:val="18"/>
                <w:lang w:bidi="ar"/>
              </w:rPr>
            </w:pPr>
          </w:p>
        </w:tc>
        <w:tc>
          <w:tcPr>
            <w:tcW w:w="622" w:type="pct"/>
          </w:tcPr>
          <w:p>
            <w:pPr>
              <w:pStyle w:val="13"/>
              <w:keepNext w:val="0"/>
              <w:keepLines w:val="0"/>
              <w:pageBreakBefore w:val="0"/>
              <w:widowControl w:val="0"/>
              <w:kinsoku/>
              <w:wordWrap/>
              <w:overflowPunct/>
              <w:autoSpaceDE/>
              <w:autoSpaceDN/>
              <w:bidi w:val="0"/>
              <w:adjustRightInd/>
              <w:snapToGrid/>
              <w:spacing w:after="0"/>
              <w:ind w:firstLine="130"/>
              <w:jc w:val="center"/>
              <w:textAlignment w:val="auto"/>
              <w:rPr>
                <w:rFonts w:ascii="宋体" w:hAnsi="宋体" w:cs="宋体"/>
                <w:color w:val="000000"/>
                <w:sz w:val="18"/>
                <w:szCs w:val="18"/>
                <w:lang w:bidi="ar"/>
              </w:rPr>
            </w:pPr>
          </w:p>
        </w:tc>
        <w:tc>
          <w:tcPr>
            <w:tcW w:w="967" w:type="pct"/>
          </w:tcPr>
          <w:p>
            <w:pPr>
              <w:keepNext w:val="0"/>
              <w:keepLines w:val="0"/>
              <w:pageBreakBefore w:val="0"/>
              <w:widowControl w:val="0"/>
              <w:kinsoku/>
              <w:wordWrap/>
              <w:overflowPunct/>
              <w:autoSpaceDE/>
              <w:autoSpaceDN/>
              <w:bidi w:val="0"/>
              <w:adjustRightInd/>
              <w:snapToGrid/>
              <w:jc w:val="center"/>
              <w:textAlignment w:val="auto"/>
              <w:rPr>
                <w:sz w:val="28"/>
                <w:szCs w:val="36"/>
              </w:rPr>
            </w:pPr>
          </w:p>
        </w:tc>
        <w:tc>
          <w:tcPr>
            <w:tcW w:w="960" w:type="pct"/>
          </w:tcPr>
          <w:p>
            <w:pPr>
              <w:keepNext w:val="0"/>
              <w:keepLines w:val="0"/>
              <w:pageBreakBefore w:val="0"/>
              <w:widowControl w:val="0"/>
              <w:kinsoku/>
              <w:wordWrap/>
              <w:overflowPunct/>
              <w:autoSpaceDE/>
              <w:autoSpaceDN/>
              <w:bidi w:val="0"/>
              <w:adjustRightInd/>
              <w:snapToGrid/>
              <w:jc w:val="center"/>
              <w:textAlignment w:val="auto"/>
              <w:rPr>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tcPr>
          <w:p>
            <w:pPr>
              <w:pStyle w:val="13"/>
              <w:keepNext w:val="0"/>
              <w:keepLines w:val="0"/>
              <w:pageBreakBefore w:val="0"/>
              <w:widowControl w:val="0"/>
              <w:kinsoku/>
              <w:wordWrap/>
              <w:overflowPunct/>
              <w:autoSpaceDE/>
              <w:autoSpaceDN/>
              <w:bidi w:val="0"/>
              <w:adjustRightInd/>
              <w:snapToGrid/>
              <w:spacing w:after="0"/>
              <w:ind w:firstLine="130"/>
              <w:textAlignment w:val="auto"/>
              <w:rPr>
                <w:rFonts w:ascii="宋体" w:hAnsi="宋体" w:cs="宋体"/>
                <w:color w:val="000000"/>
                <w:sz w:val="18"/>
                <w:szCs w:val="18"/>
                <w:lang w:bidi="ar"/>
              </w:rPr>
            </w:pPr>
            <w:r>
              <w:rPr>
                <w:rFonts w:hint="eastAsia" w:ascii="宋体" w:hAnsi="宋体" w:cs="宋体"/>
                <w:color w:val="000000"/>
                <w:sz w:val="18"/>
                <w:szCs w:val="18"/>
                <w:lang w:bidi="ar"/>
              </w:rPr>
              <w:t>3</w:t>
            </w:r>
          </w:p>
        </w:tc>
        <w:tc>
          <w:tcPr>
            <w:tcW w:w="1008" w:type="pct"/>
          </w:tcPr>
          <w:p>
            <w:pPr>
              <w:pStyle w:val="13"/>
              <w:keepNext w:val="0"/>
              <w:keepLines w:val="0"/>
              <w:pageBreakBefore w:val="0"/>
              <w:widowControl w:val="0"/>
              <w:kinsoku/>
              <w:wordWrap/>
              <w:overflowPunct/>
              <w:autoSpaceDE/>
              <w:autoSpaceDN/>
              <w:bidi w:val="0"/>
              <w:adjustRightInd/>
              <w:snapToGrid/>
              <w:spacing w:after="0"/>
              <w:ind w:firstLine="0" w:firstLineChars="0"/>
              <w:jc w:val="center"/>
              <w:textAlignment w:val="auto"/>
              <w:rPr>
                <w:rFonts w:ascii="宋体" w:hAnsi="宋体" w:cs="宋体"/>
                <w:color w:val="000000"/>
                <w:sz w:val="18"/>
                <w:szCs w:val="18"/>
                <w:lang w:bidi="ar"/>
              </w:rPr>
            </w:pPr>
          </w:p>
        </w:tc>
        <w:tc>
          <w:tcPr>
            <w:tcW w:w="504" w:type="pct"/>
          </w:tcPr>
          <w:p>
            <w:pPr>
              <w:keepNext w:val="0"/>
              <w:keepLines w:val="0"/>
              <w:pageBreakBefore w:val="0"/>
              <w:widowControl w:val="0"/>
              <w:kinsoku/>
              <w:wordWrap/>
              <w:overflowPunct/>
              <w:autoSpaceDE/>
              <w:autoSpaceDN/>
              <w:bidi w:val="0"/>
              <w:adjustRightInd/>
              <w:snapToGrid/>
              <w:jc w:val="center"/>
              <w:textAlignment w:val="auto"/>
              <w:rPr>
                <w:sz w:val="28"/>
                <w:szCs w:val="36"/>
              </w:rPr>
            </w:pPr>
          </w:p>
        </w:tc>
        <w:tc>
          <w:tcPr>
            <w:tcW w:w="620" w:type="pct"/>
          </w:tcPr>
          <w:p>
            <w:pPr>
              <w:pStyle w:val="13"/>
              <w:keepNext w:val="0"/>
              <w:keepLines w:val="0"/>
              <w:pageBreakBefore w:val="0"/>
              <w:widowControl w:val="0"/>
              <w:kinsoku/>
              <w:wordWrap/>
              <w:overflowPunct/>
              <w:autoSpaceDE/>
              <w:autoSpaceDN/>
              <w:bidi w:val="0"/>
              <w:adjustRightInd/>
              <w:snapToGrid/>
              <w:spacing w:after="0"/>
              <w:ind w:firstLine="130"/>
              <w:jc w:val="center"/>
              <w:textAlignment w:val="auto"/>
              <w:rPr>
                <w:rFonts w:ascii="宋体" w:hAnsi="宋体" w:cs="宋体"/>
                <w:color w:val="000000"/>
                <w:sz w:val="18"/>
                <w:szCs w:val="18"/>
                <w:lang w:bidi="ar"/>
              </w:rPr>
            </w:pPr>
          </w:p>
        </w:tc>
        <w:tc>
          <w:tcPr>
            <w:tcW w:w="622" w:type="pct"/>
          </w:tcPr>
          <w:p>
            <w:pPr>
              <w:pStyle w:val="13"/>
              <w:keepNext w:val="0"/>
              <w:keepLines w:val="0"/>
              <w:pageBreakBefore w:val="0"/>
              <w:widowControl w:val="0"/>
              <w:kinsoku/>
              <w:wordWrap/>
              <w:overflowPunct/>
              <w:autoSpaceDE/>
              <w:autoSpaceDN/>
              <w:bidi w:val="0"/>
              <w:adjustRightInd/>
              <w:snapToGrid/>
              <w:spacing w:after="0"/>
              <w:ind w:firstLine="130"/>
              <w:jc w:val="center"/>
              <w:textAlignment w:val="auto"/>
              <w:rPr>
                <w:rFonts w:ascii="宋体" w:hAnsi="宋体" w:cs="宋体"/>
                <w:color w:val="000000"/>
                <w:sz w:val="18"/>
                <w:szCs w:val="18"/>
                <w:lang w:bidi="ar"/>
              </w:rPr>
            </w:pPr>
          </w:p>
        </w:tc>
        <w:tc>
          <w:tcPr>
            <w:tcW w:w="967" w:type="pct"/>
          </w:tcPr>
          <w:p>
            <w:pPr>
              <w:keepNext w:val="0"/>
              <w:keepLines w:val="0"/>
              <w:pageBreakBefore w:val="0"/>
              <w:widowControl w:val="0"/>
              <w:kinsoku/>
              <w:wordWrap/>
              <w:overflowPunct/>
              <w:autoSpaceDE/>
              <w:autoSpaceDN/>
              <w:bidi w:val="0"/>
              <w:adjustRightInd/>
              <w:snapToGrid/>
              <w:jc w:val="center"/>
              <w:textAlignment w:val="auto"/>
              <w:rPr>
                <w:sz w:val="28"/>
                <w:szCs w:val="36"/>
              </w:rPr>
            </w:pPr>
          </w:p>
        </w:tc>
        <w:tc>
          <w:tcPr>
            <w:tcW w:w="960" w:type="pct"/>
          </w:tcPr>
          <w:p>
            <w:pPr>
              <w:keepNext w:val="0"/>
              <w:keepLines w:val="0"/>
              <w:pageBreakBefore w:val="0"/>
              <w:widowControl w:val="0"/>
              <w:kinsoku/>
              <w:wordWrap/>
              <w:overflowPunct/>
              <w:autoSpaceDE/>
              <w:autoSpaceDN/>
              <w:bidi w:val="0"/>
              <w:adjustRightInd/>
              <w:snapToGrid/>
              <w:jc w:val="center"/>
              <w:textAlignment w:val="auto"/>
              <w:rPr>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tcPr>
          <w:p>
            <w:pPr>
              <w:pStyle w:val="13"/>
              <w:keepNext w:val="0"/>
              <w:keepLines w:val="0"/>
              <w:pageBreakBefore w:val="0"/>
              <w:widowControl w:val="0"/>
              <w:kinsoku/>
              <w:wordWrap/>
              <w:overflowPunct/>
              <w:autoSpaceDE/>
              <w:autoSpaceDN/>
              <w:bidi w:val="0"/>
              <w:adjustRightInd/>
              <w:snapToGrid/>
              <w:spacing w:after="0"/>
              <w:ind w:firstLine="0" w:firstLineChars="0"/>
              <w:textAlignment w:val="auto"/>
              <w:rPr>
                <w:rFonts w:ascii="宋体" w:hAnsi="宋体" w:cs="宋体"/>
                <w:color w:val="000000"/>
                <w:sz w:val="18"/>
                <w:szCs w:val="18"/>
                <w:lang w:bidi="ar"/>
              </w:rPr>
            </w:pPr>
            <w:r>
              <w:rPr>
                <w:rFonts w:hint="eastAsia" w:ascii="宋体" w:hAnsi="宋体" w:cs="宋体"/>
                <w:color w:val="000000"/>
                <w:sz w:val="18"/>
                <w:szCs w:val="18"/>
                <w:lang w:bidi="ar"/>
              </w:rPr>
              <w:t>合计</w:t>
            </w:r>
          </w:p>
        </w:tc>
        <w:tc>
          <w:tcPr>
            <w:tcW w:w="1008" w:type="pct"/>
          </w:tcPr>
          <w:p>
            <w:pPr>
              <w:pStyle w:val="13"/>
              <w:keepNext w:val="0"/>
              <w:keepLines w:val="0"/>
              <w:pageBreakBefore w:val="0"/>
              <w:widowControl w:val="0"/>
              <w:kinsoku/>
              <w:wordWrap/>
              <w:overflowPunct/>
              <w:autoSpaceDE/>
              <w:autoSpaceDN/>
              <w:bidi w:val="0"/>
              <w:adjustRightInd/>
              <w:snapToGrid/>
              <w:spacing w:after="0"/>
              <w:ind w:firstLine="130"/>
              <w:textAlignment w:val="auto"/>
              <w:rPr>
                <w:rFonts w:ascii="宋体" w:hAnsi="宋体" w:cs="宋体"/>
                <w:color w:val="000000"/>
                <w:sz w:val="18"/>
                <w:szCs w:val="18"/>
                <w:lang w:bidi="ar"/>
              </w:rPr>
            </w:pPr>
          </w:p>
        </w:tc>
        <w:tc>
          <w:tcPr>
            <w:tcW w:w="504" w:type="pct"/>
          </w:tcPr>
          <w:p>
            <w:pPr>
              <w:pStyle w:val="13"/>
              <w:keepNext w:val="0"/>
              <w:keepLines w:val="0"/>
              <w:pageBreakBefore w:val="0"/>
              <w:widowControl w:val="0"/>
              <w:kinsoku/>
              <w:wordWrap/>
              <w:overflowPunct/>
              <w:autoSpaceDE/>
              <w:autoSpaceDN/>
              <w:bidi w:val="0"/>
              <w:adjustRightInd/>
              <w:snapToGrid/>
              <w:spacing w:after="0"/>
              <w:ind w:firstLine="130"/>
              <w:textAlignment w:val="auto"/>
              <w:rPr>
                <w:rFonts w:ascii="宋体" w:hAnsi="宋体" w:cs="宋体"/>
                <w:color w:val="000000"/>
                <w:sz w:val="18"/>
                <w:szCs w:val="18"/>
                <w:lang w:bidi="ar"/>
              </w:rPr>
            </w:pPr>
          </w:p>
        </w:tc>
        <w:tc>
          <w:tcPr>
            <w:tcW w:w="620" w:type="pct"/>
          </w:tcPr>
          <w:p>
            <w:pPr>
              <w:pStyle w:val="13"/>
              <w:keepNext w:val="0"/>
              <w:keepLines w:val="0"/>
              <w:pageBreakBefore w:val="0"/>
              <w:widowControl w:val="0"/>
              <w:kinsoku/>
              <w:wordWrap/>
              <w:overflowPunct/>
              <w:autoSpaceDE/>
              <w:autoSpaceDN/>
              <w:bidi w:val="0"/>
              <w:adjustRightInd/>
              <w:snapToGrid/>
              <w:spacing w:after="0"/>
              <w:ind w:firstLine="130"/>
              <w:textAlignment w:val="auto"/>
              <w:rPr>
                <w:rFonts w:ascii="宋体" w:hAnsi="宋体" w:cs="宋体"/>
                <w:color w:val="000000"/>
                <w:sz w:val="18"/>
                <w:szCs w:val="18"/>
                <w:lang w:bidi="ar"/>
              </w:rPr>
            </w:pPr>
          </w:p>
        </w:tc>
        <w:tc>
          <w:tcPr>
            <w:tcW w:w="622" w:type="pct"/>
          </w:tcPr>
          <w:p>
            <w:pPr>
              <w:pStyle w:val="13"/>
              <w:keepNext w:val="0"/>
              <w:keepLines w:val="0"/>
              <w:pageBreakBefore w:val="0"/>
              <w:widowControl w:val="0"/>
              <w:kinsoku/>
              <w:wordWrap/>
              <w:overflowPunct/>
              <w:autoSpaceDE/>
              <w:autoSpaceDN/>
              <w:bidi w:val="0"/>
              <w:adjustRightInd/>
              <w:snapToGrid/>
              <w:spacing w:after="0"/>
              <w:ind w:firstLine="130"/>
              <w:textAlignment w:val="auto"/>
              <w:rPr>
                <w:rFonts w:ascii="宋体" w:hAnsi="宋体" w:cs="宋体"/>
                <w:color w:val="000000"/>
                <w:sz w:val="18"/>
                <w:szCs w:val="18"/>
                <w:lang w:bidi="ar"/>
              </w:rPr>
            </w:pPr>
          </w:p>
        </w:tc>
        <w:tc>
          <w:tcPr>
            <w:tcW w:w="967" w:type="pct"/>
          </w:tcPr>
          <w:p>
            <w:pPr>
              <w:pStyle w:val="13"/>
              <w:keepNext w:val="0"/>
              <w:keepLines w:val="0"/>
              <w:pageBreakBefore w:val="0"/>
              <w:widowControl w:val="0"/>
              <w:kinsoku/>
              <w:wordWrap/>
              <w:overflowPunct/>
              <w:autoSpaceDE/>
              <w:autoSpaceDN/>
              <w:bidi w:val="0"/>
              <w:adjustRightInd/>
              <w:snapToGrid/>
              <w:spacing w:after="0"/>
              <w:ind w:firstLine="130"/>
              <w:textAlignment w:val="auto"/>
              <w:rPr>
                <w:rFonts w:ascii="宋体" w:hAnsi="宋体" w:cs="宋体"/>
                <w:color w:val="000000"/>
                <w:sz w:val="18"/>
                <w:szCs w:val="18"/>
                <w:lang w:bidi="ar"/>
              </w:rPr>
            </w:pPr>
          </w:p>
        </w:tc>
        <w:tc>
          <w:tcPr>
            <w:tcW w:w="960" w:type="pct"/>
          </w:tcPr>
          <w:p>
            <w:pPr>
              <w:pStyle w:val="13"/>
              <w:keepNext w:val="0"/>
              <w:keepLines w:val="0"/>
              <w:pageBreakBefore w:val="0"/>
              <w:widowControl w:val="0"/>
              <w:kinsoku/>
              <w:wordWrap/>
              <w:overflowPunct/>
              <w:autoSpaceDE/>
              <w:autoSpaceDN/>
              <w:bidi w:val="0"/>
              <w:adjustRightInd/>
              <w:snapToGrid/>
              <w:spacing w:after="0"/>
              <w:ind w:firstLine="130"/>
              <w:textAlignment w:val="auto"/>
              <w:rPr>
                <w:rFonts w:ascii="宋体" w:hAnsi="宋体" w:cs="宋体"/>
                <w:color w:val="00000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tcPr>
          <w:p>
            <w:pPr>
              <w:pStyle w:val="13"/>
              <w:ind w:firstLine="0" w:firstLineChars="0"/>
              <w:rPr>
                <w:rFonts w:hint="eastAsia" w:ascii="宋体" w:hAnsi="宋体" w:eastAsia="宋体" w:cs="宋体"/>
                <w:color w:val="000000"/>
                <w:sz w:val="13"/>
                <w:szCs w:val="13"/>
                <w:lang w:eastAsia="zh-CN" w:bidi="ar"/>
              </w:rPr>
            </w:pPr>
            <w:r>
              <w:rPr>
                <w:rFonts w:hint="eastAsia" w:ascii="宋体" w:hAnsi="宋体" w:cs="宋体"/>
                <w:color w:val="000000"/>
                <w:sz w:val="18"/>
                <w:szCs w:val="18"/>
                <w:lang w:eastAsia="zh-CN" w:bidi="ar"/>
              </w:rPr>
              <w:t>备注</w:t>
            </w:r>
          </w:p>
        </w:tc>
        <w:tc>
          <w:tcPr>
            <w:tcW w:w="4683" w:type="pct"/>
            <w:gridSpan w:val="6"/>
          </w:tcPr>
          <w:p>
            <w:pPr>
              <w:pStyle w:val="13"/>
              <w:tabs>
                <w:tab w:val="left" w:pos="1434"/>
              </w:tabs>
              <w:ind w:firstLine="130"/>
              <w:jc w:val="left"/>
              <w:rPr>
                <w:rFonts w:hint="default" w:ascii="宋体" w:hAnsi="宋体" w:eastAsia="宋体" w:cs="宋体"/>
                <w:color w:val="000000"/>
                <w:sz w:val="13"/>
                <w:szCs w:val="13"/>
                <w:lang w:val="en-US" w:eastAsia="zh-CN" w:bidi="ar"/>
              </w:rPr>
            </w:pPr>
            <w:r>
              <w:rPr>
                <w:rFonts w:hint="eastAsia" w:ascii="宋体" w:hAnsi="宋体" w:cs="宋体"/>
                <w:color w:val="000000"/>
                <w:sz w:val="24"/>
                <w:szCs w:val="24"/>
                <w:lang w:val="en-US" w:eastAsia="zh-CN" w:bidi="ar"/>
              </w:rPr>
              <w:t>1、</w:t>
            </w:r>
            <w:r>
              <w:rPr>
                <w:rFonts w:hint="eastAsia" w:ascii="宋体" w:hAnsi="宋体" w:cs="宋体"/>
                <w:color w:val="000000"/>
                <w:sz w:val="24"/>
                <w:szCs w:val="24"/>
                <w:lang w:eastAsia="zh-CN" w:bidi="ar"/>
              </w:rPr>
              <w:t>以上费用包括各种设备测试费及能源审计过程中产生的所有费用</w:t>
            </w:r>
            <w:r>
              <w:rPr>
                <w:rFonts w:hint="eastAsia" w:ascii="宋体" w:hAnsi="宋体" w:cs="宋体"/>
                <w:color w:val="000000"/>
                <w:sz w:val="24"/>
                <w:szCs w:val="24"/>
                <w:lang w:val="en-US" w:eastAsia="zh-CN" w:bidi="ar"/>
              </w:rPr>
              <w:t>2、2025年11月1日前完成能源审计工作，能源审计报告在招远市发改局备案</w:t>
            </w:r>
          </w:p>
        </w:tc>
      </w:tr>
    </w:tbl>
    <w:p>
      <w:pPr>
        <w:spacing w:line="360" w:lineRule="auto"/>
        <w:rPr>
          <w:rFonts w:asciiTheme="minorEastAsia" w:hAnsiTheme="minorEastAsia" w:eastAsiaTheme="minorEastAsia" w:cstheme="minorEastAsia"/>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Cs/>
          <w:sz w:val="28"/>
          <w:szCs w:val="28"/>
          <w:lang w:val="zh-CN"/>
        </w:rPr>
        <w:t>四、技术</w:t>
      </w:r>
      <w:r>
        <w:rPr>
          <w:rFonts w:hint="eastAsia" w:asciiTheme="minorEastAsia" w:hAnsiTheme="minorEastAsia" w:eastAsiaTheme="minorEastAsia" w:cstheme="minorEastAsia"/>
          <w:bCs/>
          <w:sz w:val="28"/>
          <w:szCs w:val="28"/>
        </w:rPr>
        <w:t>要求</w:t>
      </w:r>
    </w:p>
    <w:p>
      <w:pPr>
        <w:tabs>
          <w:tab w:val="left" w:pos="753"/>
        </w:tabs>
        <w:spacing w:line="360" w:lineRule="auto"/>
        <w:rPr>
          <w:rFonts w:hint="eastAsia" w:asciiTheme="majorEastAsia" w:hAnsiTheme="majorEastAsia" w:eastAsiaTheme="majorEastAsia" w:cstheme="majorEastAsia"/>
          <w:b w:val="0"/>
          <w:bCs/>
          <w:sz w:val="28"/>
          <w:szCs w:val="28"/>
        </w:rPr>
      </w:pPr>
      <w:r>
        <w:rPr>
          <w:rFonts w:hint="eastAsia" w:asciiTheme="majorEastAsia" w:hAnsiTheme="majorEastAsia" w:eastAsiaTheme="majorEastAsia" w:cstheme="majorEastAsia"/>
          <w:b w:val="0"/>
          <w:bCs/>
          <w:sz w:val="28"/>
          <w:szCs w:val="28"/>
        </w:rPr>
        <w:t>1、</w:t>
      </w:r>
      <w:r>
        <w:rPr>
          <w:rFonts w:hint="eastAsia" w:asciiTheme="majorEastAsia" w:hAnsiTheme="majorEastAsia" w:eastAsiaTheme="majorEastAsia" w:cstheme="majorEastAsia"/>
          <w:b w:val="0"/>
          <w:bCs/>
          <w:sz w:val="28"/>
          <w:szCs w:val="28"/>
          <w:lang w:eastAsia="zh-CN"/>
        </w:rPr>
        <w:t>合规性保障：</w:t>
      </w:r>
    </w:p>
    <w:p>
      <w:pPr>
        <w:pStyle w:val="43"/>
        <w:spacing w:beforeLines="0"/>
        <w:ind w:firstLine="560" w:firstLineChars="200"/>
        <w:rPr>
          <w:rFonts w:hint="eastAsia" w:asciiTheme="majorEastAsia" w:hAnsiTheme="majorEastAsia" w:eastAsiaTheme="majorEastAsia" w:cstheme="majorEastAsia"/>
          <w:b w:val="0"/>
          <w:bCs/>
          <w:sz w:val="28"/>
          <w:szCs w:val="28"/>
          <w:lang w:eastAsia="zh-CN"/>
        </w:rPr>
      </w:pPr>
      <w:bookmarkStart w:id="1" w:name="_Toc30545"/>
      <w:bookmarkStart w:id="2" w:name="_Toc4923"/>
      <w:r>
        <w:rPr>
          <w:rFonts w:hint="eastAsia" w:asciiTheme="majorEastAsia" w:hAnsiTheme="majorEastAsia" w:eastAsiaTheme="majorEastAsia" w:cstheme="majorEastAsia"/>
          <w:b w:val="0"/>
          <w:bCs/>
          <w:sz w:val="28"/>
          <w:szCs w:val="28"/>
        </w:rPr>
        <w:t>投标人应使用最新颁布执行的国家标准、行业标准</w:t>
      </w:r>
      <w:bookmarkEnd w:id="1"/>
      <w:bookmarkEnd w:id="2"/>
      <w:r>
        <w:rPr>
          <w:rFonts w:hint="eastAsia" w:asciiTheme="majorEastAsia" w:hAnsiTheme="majorEastAsia" w:eastAsiaTheme="majorEastAsia" w:cstheme="majorEastAsia"/>
          <w:b w:val="0"/>
          <w:bCs/>
          <w:sz w:val="28"/>
          <w:szCs w:val="28"/>
          <w:lang w:eastAsia="zh-CN"/>
        </w:rPr>
        <w:t>进行能源审计，能源审计结果必须符合国家及地方、行业规范《能源审计技术通则》及关于能源管理、节能审查的相关法规标准，确保能源审计质量，保证审计报告的真实性、准确性和完整性，做到数据真实、结论可靠，符合相关标准和规范。为招标方节能改造或管理优化的依据。</w:t>
      </w:r>
    </w:p>
    <w:p>
      <w:pPr>
        <w:rPr>
          <w:rFonts w:hint="eastAsia"/>
          <w:lang w:eastAsia="zh-CN"/>
        </w:rPr>
      </w:pPr>
      <w:r>
        <w:rPr>
          <w:rFonts w:hint="eastAsia"/>
          <w:sz w:val="28"/>
          <w:szCs w:val="28"/>
          <w:lang w:val="en-US" w:eastAsia="zh-CN"/>
        </w:rPr>
        <w:t>2、</w:t>
      </w:r>
      <w:r>
        <w:rPr>
          <w:rFonts w:hint="eastAsia"/>
          <w:sz w:val="28"/>
          <w:szCs w:val="28"/>
          <w:lang w:eastAsia="zh-CN"/>
        </w:rPr>
        <w:t>能源审计机构资质要求：需要具备履行能源审计工作所必须的检验、测试等专业技术能力和专用能源检测仪器仪表以及具有CMA和CNAS认证资质的实验室认可的第三方审计机构或咨询机构前来进行能源审计工作，</w:t>
      </w:r>
      <w:r>
        <w:rPr>
          <w:rFonts w:hint="eastAsia"/>
          <w:sz w:val="28"/>
          <w:szCs w:val="28"/>
          <w:lang w:val="en-US" w:eastAsia="zh-CN"/>
        </w:rPr>
        <w:t>同样条件下，具有电能质量测试资质的机构优先。</w:t>
      </w:r>
      <w:r>
        <w:rPr>
          <w:rFonts w:hint="eastAsia"/>
          <w:sz w:val="28"/>
          <w:szCs w:val="28"/>
          <w:lang w:eastAsia="zh-CN"/>
        </w:rPr>
        <w:t>完成能源审计工作，编制出能源审计报告，能源审计报告能够通过招远市发改局审查合格备案</w:t>
      </w:r>
      <w:r>
        <w:rPr>
          <w:rFonts w:hint="eastAsia"/>
          <w:sz w:val="28"/>
          <w:szCs w:val="28"/>
          <w:lang w:val="en-US" w:eastAsia="zh-CN"/>
        </w:rPr>
        <w:t xml:space="preserve"> 。</w:t>
      </w:r>
    </w:p>
    <w:p>
      <w:pPr>
        <w:pStyle w:val="43"/>
        <w:numPr>
          <w:ilvl w:val="0"/>
          <w:numId w:val="0"/>
        </w:numPr>
        <w:spacing w:beforeLines="0"/>
        <w:rPr>
          <w:rFonts w:hint="eastAsia" w:asciiTheme="majorEastAsia" w:hAnsiTheme="majorEastAsia" w:eastAsiaTheme="majorEastAsia" w:cstheme="majorEastAsia"/>
          <w:b w:val="0"/>
          <w:bCs/>
          <w:sz w:val="28"/>
          <w:szCs w:val="28"/>
        </w:rPr>
      </w:pPr>
      <w:r>
        <w:rPr>
          <w:rFonts w:hint="eastAsia" w:asciiTheme="majorEastAsia" w:hAnsiTheme="majorEastAsia" w:eastAsiaTheme="majorEastAsia" w:cstheme="majorEastAsia"/>
          <w:b w:val="0"/>
          <w:bCs/>
          <w:sz w:val="28"/>
          <w:szCs w:val="28"/>
          <w:lang w:val="en-US" w:eastAsia="zh-CN"/>
        </w:rPr>
        <w:t>3、</w:t>
      </w:r>
      <w:r>
        <w:rPr>
          <w:rFonts w:hint="eastAsia" w:asciiTheme="majorEastAsia" w:hAnsiTheme="majorEastAsia" w:eastAsiaTheme="majorEastAsia" w:cstheme="majorEastAsia"/>
          <w:b w:val="0"/>
          <w:bCs/>
          <w:sz w:val="28"/>
          <w:szCs w:val="28"/>
        </w:rPr>
        <w:t>审计范围与内容：</w:t>
      </w:r>
    </w:p>
    <w:p>
      <w:pPr>
        <w:pStyle w:val="43"/>
        <w:numPr>
          <w:ilvl w:val="0"/>
          <w:numId w:val="0"/>
        </w:numPr>
        <w:spacing w:beforeLines="0"/>
        <w:ind w:firstLine="280" w:firstLineChars="100"/>
        <w:rPr>
          <w:rFonts w:hint="eastAsia" w:asciiTheme="majorEastAsia" w:hAnsiTheme="majorEastAsia" w:eastAsiaTheme="majorEastAsia" w:cstheme="majorEastAsia"/>
          <w:b w:val="0"/>
          <w:bCs/>
          <w:sz w:val="28"/>
          <w:szCs w:val="28"/>
          <w:lang w:eastAsia="zh-CN"/>
        </w:rPr>
      </w:pPr>
      <w:r>
        <w:rPr>
          <w:rFonts w:hint="eastAsia" w:asciiTheme="majorEastAsia" w:hAnsiTheme="majorEastAsia" w:eastAsiaTheme="majorEastAsia" w:cstheme="majorEastAsia"/>
          <w:b w:val="0"/>
          <w:bCs/>
          <w:sz w:val="28"/>
          <w:szCs w:val="28"/>
          <w:lang w:eastAsia="zh-CN"/>
        </w:rPr>
        <w:t>金宝电子下属三个厂区</w:t>
      </w:r>
      <w:r>
        <w:rPr>
          <w:rFonts w:hint="eastAsia" w:asciiTheme="majorEastAsia" w:hAnsiTheme="majorEastAsia" w:eastAsiaTheme="majorEastAsia" w:cstheme="majorEastAsia"/>
          <w:b w:val="0"/>
          <w:bCs/>
          <w:sz w:val="28"/>
          <w:szCs w:val="28"/>
          <w:lang w:val="en-US" w:eastAsia="zh-CN"/>
        </w:rPr>
        <w:t>:国大路厂、天府路厂、金源路厂。</w:t>
      </w:r>
      <w:r>
        <w:rPr>
          <w:rFonts w:hint="eastAsia" w:asciiTheme="majorEastAsia" w:hAnsiTheme="majorEastAsia" w:eastAsiaTheme="majorEastAsia" w:cstheme="majorEastAsia"/>
          <w:b w:val="0"/>
          <w:bCs/>
          <w:sz w:val="28"/>
          <w:szCs w:val="28"/>
          <w:lang w:eastAsia="zh-CN"/>
        </w:rPr>
        <w:t>本次能源</w:t>
      </w:r>
      <w:r>
        <w:rPr>
          <w:rFonts w:hint="eastAsia" w:asciiTheme="majorEastAsia" w:hAnsiTheme="majorEastAsia" w:eastAsiaTheme="majorEastAsia" w:cstheme="majorEastAsia"/>
          <w:b w:val="0"/>
          <w:bCs/>
          <w:sz w:val="28"/>
          <w:szCs w:val="28"/>
        </w:rPr>
        <w:t>审计的能源种类</w:t>
      </w:r>
      <w:r>
        <w:rPr>
          <w:rFonts w:hint="eastAsia" w:asciiTheme="majorEastAsia" w:hAnsiTheme="majorEastAsia" w:eastAsiaTheme="majorEastAsia" w:cstheme="majorEastAsia"/>
          <w:b w:val="0"/>
          <w:bCs/>
          <w:sz w:val="28"/>
          <w:szCs w:val="28"/>
          <w:lang w:eastAsia="zh-CN"/>
        </w:rPr>
        <w:t>为</w:t>
      </w:r>
      <w:r>
        <w:rPr>
          <w:rFonts w:hint="eastAsia" w:asciiTheme="majorEastAsia" w:hAnsiTheme="majorEastAsia" w:eastAsiaTheme="majorEastAsia" w:cstheme="majorEastAsia"/>
          <w:b w:val="0"/>
          <w:bCs/>
          <w:sz w:val="28"/>
          <w:szCs w:val="28"/>
        </w:rPr>
        <w:t>电、水、</w:t>
      </w:r>
      <w:r>
        <w:rPr>
          <w:rFonts w:hint="eastAsia" w:asciiTheme="majorEastAsia" w:hAnsiTheme="majorEastAsia" w:eastAsiaTheme="majorEastAsia" w:cstheme="majorEastAsia"/>
          <w:b w:val="0"/>
          <w:bCs/>
          <w:sz w:val="28"/>
          <w:szCs w:val="28"/>
          <w:lang w:eastAsia="zh-CN"/>
        </w:rPr>
        <w:t>天然气</w:t>
      </w:r>
      <w:r>
        <w:rPr>
          <w:rFonts w:hint="eastAsia" w:asciiTheme="majorEastAsia" w:hAnsiTheme="majorEastAsia" w:eastAsiaTheme="majorEastAsia" w:cstheme="majorEastAsia"/>
          <w:b w:val="0"/>
          <w:bCs/>
          <w:sz w:val="28"/>
          <w:szCs w:val="28"/>
        </w:rPr>
        <w:t>、</w:t>
      </w:r>
      <w:r>
        <w:rPr>
          <w:rFonts w:hint="eastAsia" w:asciiTheme="majorEastAsia" w:hAnsiTheme="majorEastAsia" w:eastAsiaTheme="majorEastAsia" w:cstheme="majorEastAsia"/>
          <w:b w:val="0"/>
          <w:bCs/>
          <w:sz w:val="28"/>
          <w:szCs w:val="28"/>
          <w:lang w:eastAsia="zh-CN"/>
        </w:rPr>
        <w:t>汽油、柴油</w:t>
      </w:r>
      <w:r>
        <w:rPr>
          <w:rFonts w:hint="eastAsia" w:asciiTheme="majorEastAsia" w:hAnsiTheme="majorEastAsia" w:eastAsiaTheme="majorEastAsia" w:cstheme="majorEastAsia"/>
          <w:b w:val="0"/>
          <w:bCs/>
          <w:sz w:val="28"/>
          <w:szCs w:val="28"/>
        </w:rPr>
        <w:t>等、涉及的区域</w:t>
      </w:r>
      <w:r>
        <w:rPr>
          <w:rFonts w:hint="eastAsia" w:asciiTheme="majorEastAsia" w:hAnsiTheme="majorEastAsia" w:eastAsiaTheme="majorEastAsia" w:cstheme="majorEastAsia"/>
          <w:b w:val="0"/>
          <w:bCs/>
          <w:sz w:val="28"/>
          <w:szCs w:val="28"/>
          <w:lang w:eastAsia="zh-CN"/>
        </w:rPr>
        <w:t>包括</w:t>
      </w:r>
      <w:r>
        <w:rPr>
          <w:rFonts w:hint="eastAsia" w:asciiTheme="majorEastAsia" w:hAnsiTheme="majorEastAsia" w:eastAsiaTheme="majorEastAsia" w:cstheme="majorEastAsia"/>
          <w:b w:val="0"/>
          <w:bCs/>
          <w:sz w:val="28"/>
          <w:szCs w:val="28"/>
        </w:rPr>
        <w:t>生产车间、办公楼、附属设施等及采购、储存、转换、使用等</w:t>
      </w:r>
      <w:r>
        <w:rPr>
          <w:rFonts w:hint="eastAsia" w:asciiTheme="majorEastAsia" w:hAnsiTheme="majorEastAsia" w:eastAsiaTheme="majorEastAsia" w:cstheme="majorEastAsia"/>
          <w:b w:val="0"/>
          <w:bCs/>
          <w:sz w:val="28"/>
          <w:szCs w:val="28"/>
          <w:lang w:eastAsia="zh-CN"/>
        </w:rPr>
        <w:t>各个环节。</w:t>
      </w:r>
    </w:p>
    <w:p>
      <w:pPr>
        <w:pStyle w:val="43"/>
        <w:spacing w:beforeLines="0"/>
        <w:rPr>
          <w:rFonts w:hint="eastAsia" w:asciiTheme="majorEastAsia" w:hAnsiTheme="majorEastAsia" w:eastAsiaTheme="majorEastAsia" w:cstheme="majorEastAsia"/>
          <w:b w:val="0"/>
          <w:bCs/>
          <w:sz w:val="28"/>
          <w:szCs w:val="28"/>
        </w:rPr>
      </w:pPr>
      <w:r>
        <w:rPr>
          <w:rFonts w:hint="eastAsia" w:asciiTheme="majorEastAsia" w:hAnsiTheme="majorEastAsia" w:eastAsiaTheme="majorEastAsia" w:cstheme="majorEastAsia"/>
          <w:b w:val="0"/>
          <w:bCs/>
          <w:sz w:val="28"/>
          <w:szCs w:val="28"/>
        </w:rPr>
        <w:t>- 审计方法与步骤：</w:t>
      </w:r>
      <w:r>
        <w:rPr>
          <w:rFonts w:hint="eastAsia" w:asciiTheme="majorEastAsia" w:hAnsiTheme="majorEastAsia" w:eastAsiaTheme="majorEastAsia" w:cstheme="majorEastAsia"/>
          <w:b w:val="0"/>
          <w:bCs/>
          <w:sz w:val="28"/>
          <w:szCs w:val="28"/>
          <w:lang w:eastAsia="zh-CN"/>
        </w:rPr>
        <w:t>中标方根据国家及地方、行业规范《能源审计技术通则》及关于能源管理、节能审查的相关法规标准及招远发改局要求，</w:t>
      </w:r>
      <w:r>
        <w:rPr>
          <w:rFonts w:hint="eastAsia" w:asciiTheme="majorEastAsia" w:hAnsiTheme="majorEastAsia" w:eastAsiaTheme="majorEastAsia" w:cstheme="majorEastAsia"/>
          <w:b w:val="0"/>
          <w:bCs/>
          <w:sz w:val="28"/>
          <w:szCs w:val="28"/>
        </w:rPr>
        <w:t>采用</w:t>
      </w:r>
      <w:r>
        <w:rPr>
          <w:rFonts w:hint="eastAsia" w:asciiTheme="majorEastAsia" w:hAnsiTheme="majorEastAsia" w:eastAsiaTheme="majorEastAsia" w:cstheme="majorEastAsia"/>
          <w:b w:val="0"/>
          <w:bCs/>
          <w:sz w:val="28"/>
          <w:szCs w:val="28"/>
          <w:lang w:eastAsia="zh-CN"/>
        </w:rPr>
        <w:t>符合能源审计</w:t>
      </w:r>
      <w:r>
        <w:rPr>
          <w:rFonts w:hint="eastAsia" w:asciiTheme="majorEastAsia" w:hAnsiTheme="majorEastAsia" w:eastAsiaTheme="majorEastAsia" w:cstheme="majorEastAsia"/>
          <w:b w:val="0"/>
          <w:bCs/>
          <w:sz w:val="28"/>
          <w:szCs w:val="28"/>
        </w:rPr>
        <w:t>的审计方法（如现场勘查、数据统计分析、对标分析等），并列出详细的实施步骤和时间安排。</w:t>
      </w:r>
    </w:p>
    <w:p>
      <w:pPr>
        <w:pStyle w:val="43"/>
        <w:spacing w:beforeLines="0"/>
        <w:rPr>
          <w:rFonts w:hint="eastAsia" w:asciiTheme="majorEastAsia" w:hAnsiTheme="majorEastAsia" w:eastAsiaTheme="majorEastAsia" w:cstheme="majorEastAsia"/>
          <w:b w:val="0"/>
          <w:bCs/>
          <w:sz w:val="28"/>
          <w:szCs w:val="28"/>
        </w:rPr>
      </w:pPr>
      <w:r>
        <w:rPr>
          <w:rFonts w:hint="eastAsia" w:asciiTheme="majorEastAsia" w:hAnsiTheme="majorEastAsia" w:eastAsiaTheme="majorEastAsia" w:cstheme="majorEastAsia"/>
          <w:b w:val="0"/>
          <w:bCs/>
          <w:sz w:val="28"/>
          <w:szCs w:val="28"/>
        </w:rPr>
        <w:t>- 预期成果：</w:t>
      </w:r>
      <w:r>
        <w:rPr>
          <w:rFonts w:hint="eastAsia" w:asciiTheme="majorEastAsia" w:hAnsiTheme="majorEastAsia" w:eastAsiaTheme="majorEastAsia" w:cstheme="majorEastAsia"/>
          <w:b w:val="0"/>
          <w:bCs/>
          <w:sz w:val="28"/>
          <w:szCs w:val="28"/>
          <w:lang w:eastAsia="zh-CN"/>
        </w:rPr>
        <w:t>完成各种用电设备的测试、锅炉的测试、变配电系统测试等各种测试，编制能源审计报告，</w:t>
      </w:r>
      <w:r>
        <w:rPr>
          <w:rFonts w:hint="eastAsia" w:asciiTheme="majorEastAsia" w:hAnsiTheme="majorEastAsia" w:eastAsiaTheme="majorEastAsia" w:cstheme="majorEastAsia"/>
          <w:b w:val="0"/>
          <w:bCs/>
          <w:sz w:val="28"/>
          <w:szCs w:val="28"/>
        </w:rPr>
        <w:t>包括能源消耗分析报告、节能潜力评估、节能建议方案等。</w:t>
      </w:r>
    </w:p>
    <w:p>
      <w:pPr>
        <w:ind w:firstLine="280" w:firstLineChars="100"/>
        <w:rPr>
          <w:rFonts w:hint="eastAsia" w:asciiTheme="majorEastAsia" w:hAnsiTheme="majorEastAsia" w:eastAsiaTheme="majorEastAsia" w:cstheme="majorEastAsia"/>
          <w:b w:val="0"/>
          <w:bCs/>
          <w:sz w:val="28"/>
          <w:szCs w:val="28"/>
        </w:rPr>
      </w:pPr>
      <w:r>
        <w:rPr>
          <w:rFonts w:hint="eastAsia" w:asciiTheme="majorEastAsia" w:hAnsiTheme="majorEastAsia" w:eastAsiaTheme="majorEastAsia" w:cstheme="majorEastAsia"/>
          <w:b w:val="0"/>
          <w:bCs/>
          <w:sz w:val="28"/>
          <w:szCs w:val="28"/>
          <w:lang w:val="en-US" w:eastAsia="zh-CN"/>
        </w:rPr>
        <w:t>4、</w:t>
      </w:r>
      <w:r>
        <w:rPr>
          <w:rFonts w:hint="eastAsia" w:asciiTheme="majorEastAsia" w:hAnsiTheme="majorEastAsia" w:eastAsiaTheme="majorEastAsia" w:cstheme="majorEastAsia"/>
          <w:b w:val="0"/>
          <w:bCs/>
          <w:sz w:val="28"/>
          <w:szCs w:val="28"/>
        </w:rPr>
        <w:t>服务周期：</w:t>
      </w:r>
      <w:r>
        <w:rPr>
          <w:rFonts w:hint="eastAsia" w:asciiTheme="majorEastAsia" w:hAnsiTheme="majorEastAsia" w:eastAsiaTheme="majorEastAsia" w:cstheme="majorEastAsia"/>
          <w:b w:val="0"/>
          <w:bCs/>
          <w:sz w:val="28"/>
          <w:szCs w:val="28"/>
          <w:lang w:val="en-US" w:eastAsia="zh-CN"/>
        </w:rPr>
        <w:t>2025年11月1日前</w:t>
      </w:r>
      <w:r>
        <w:rPr>
          <w:rFonts w:hint="eastAsia" w:asciiTheme="majorEastAsia" w:hAnsiTheme="majorEastAsia" w:eastAsiaTheme="majorEastAsia" w:cstheme="majorEastAsia"/>
          <w:b w:val="0"/>
          <w:bCs/>
          <w:sz w:val="28"/>
          <w:szCs w:val="28"/>
        </w:rPr>
        <w:t>完成审计</w:t>
      </w:r>
      <w:r>
        <w:rPr>
          <w:rFonts w:hint="eastAsia" w:asciiTheme="majorEastAsia" w:hAnsiTheme="majorEastAsia" w:eastAsiaTheme="majorEastAsia" w:cstheme="majorEastAsia"/>
          <w:b w:val="0"/>
          <w:bCs/>
          <w:sz w:val="28"/>
          <w:szCs w:val="28"/>
          <w:lang w:eastAsia="zh-CN"/>
        </w:rPr>
        <w:t>的所有项目</w:t>
      </w:r>
      <w:r>
        <w:rPr>
          <w:rFonts w:hint="eastAsia" w:asciiTheme="majorEastAsia" w:hAnsiTheme="majorEastAsia" w:eastAsiaTheme="majorEastAsia" w:cstheme="majorEastAsia"/>
          <w:b w:val="0"/>
          <w:bCs/>
          <w:sz w:val="28"/>
          <w:szCs w:val="28"/>
        </w:rPr>
        <w:t>，确保按时交付</w:t>
      </w:r>
      <w:r>
        <w:rPr>
          <w:rFonts w:hint="eastAsia" w:asciiTheme="majorEastAsia" w:hAnsiTheme="majorEastAsia" w:eastAsiaTheme="majorEastAsia" w:cstheme="majorEastAsia"/>
          <w:b w:val="0"/>
          <w:bCs/>
          <w:sz w:val="28"/>
          <w:szCs w:val="28"/>
          <w:lang w:eastAsia="zh-CN"/>
        </w:rPr>
        <w:t>能源审计报告并到发改局备案</w:t>
      </w:r>
      <w:r>
        <w:rPr>
          <w:rFonts w:hint="eastAsia" w:asciiTheme="majorEastAsia" w:hAnsiTheme="majorEastAsia" w:eastAsiaTheme="majorEastAsia" w:cstheme="majorEastAsia"/>
          <w:b w:val="0"/>
          <w:bCs/>
          <w:sz w:val="28"/>
          <w:szCs w:val="28"/>
        </w:rPr>
        <w:t>。</w:t>
      </w:r>
    </w:p>
    <w:p>
      <w:pPr>
        <w:pStyle w:val="6"/>
        <w:ind w:left="0" w:leftChars="0" w:firstLine="280" w:firstLineChars="100"/>
        <w:outlineLvl w:val="0"/>
        <w:rPr>
          <w:rFonts w:hint="eastAsia" w:asciiTheme="majorEastAsia" w:hAnsiTheme="majorEastAsia" w:eastAsiaTheme="majorEastAsia" w:cstheme="majorEastAsia"/>
          <w:b w:val="0"/>
          <w:bCs/>
          <w:sz w:val="28"/>
          <w:szCs w:val="28"/>
        </w:rPr>
      </w:pPr>
      <w:r>
        <w:rPr>
          <w:rFonts w:hint="eastAsia" w:asciiTheme="majorEastAsia" w:hAnsiTheme="majorEastAsia" w:eastAsiaTheme="majorEastAsia" w:cstheme="majorEastAsia"/>
          <w:b w:val="0"/>
          <w:bCs/>
          <w:sz w:val="28"/>
          <w:szCs w:val="28"/>
          <w:lang w:val="en-US" w:eastAsia="zh-CN"/>
        </w:rPr>
        <w:t>5、</w:t>
      </w:r>
      <w:r>
        <w:rPr>
          <w:rFonts w:hint="eastAsia" w:asciiTheme="majorEastAsia" w:hAnsiTheme="majorEastAsia" w:eastAsiaTheme="majorEastAsia" w:cstheme="majorEastAsia"/>
          <w:b w:val="0"/>
          <w:bCs/>
          <w:sz w:val="28"/>
          <w:szCs w:val="28"/>
        </w:rPr>
        <w:t>后续服务保障：</w:t>
      </w:r>
      <w:r>
        <w:rPr>
          <w:rFonts w:hint="eastAsia" w:asciiTheme="majorEastAsia" w:hAnsiTheme="majorEastAsia" w:eastAsiaTheme="majorEastAsia" w:cstheme="majorEastAsia"/>
          <w:b w:val="0"/>
          <w:bCs/>
          <w:sz w:val="28"/>
          <w:szCs w:val="28"/>
          <w:lang w:eastAsia="zh-CN"/>
        </w:rPr>
        <w:t>根据能源审计报告，</w:t>
      </w:r>
      <w:r>
        <w:rPr>
          <w:rFonts w:hint="eastAsia" w:asciiTheme="majorEastAsia" w:hAnsiTheme="majorEastAsia" w:eastAsiaTheme="majorEastAsia" w:cstheme="majorEastAsia"/>
          <w:b w:val="0"/>
          <w:bCs/>
          <w:sz w:val="28"/>
          <w:szCs w:val="28"/>
        </w:rPr>
        <w:t xml:space="preserve">提供节能建议的解读、协助客户实施节能方案等。  </w:t>
      </w:r>
    </w:p>
    <w:p>
      <w:pPr>
        <w:pStyle w:val="13"/>
        <w:ind w:firstLine="0" w:firstLineChars="0"/>
        <w:rPr>
          <w:rFonts w:hint="eastAsia" w:asciiTheme="majorEastAsia" w:hAnsiTheme="majorEastAsia" w:eastAsiaTheme="majorEastAsia" w:cstheme="majorEastAsia"/>
          <w:b w:val="0"/>
          <w:bCs/>
          <w:sz w:val="28"/>
          <w:szCs w:val="28"/>
        </w:rPr>
      </w:pPr>
      <w:r>
        <w:rPr>
          <w:rFonts w:hint="eastAsia" w:asciiTheme="majorEastAsia" w:hAnsiTheme="majorEastAsia" w:eastAsiaTheme="majorEastAsia" w:cstheme="majorEastAsia"/>
          <w:b w:val="0"/>
          <w:bCs/>
          <w:sz w:val="28"/>
          <w:szCs w:val="28"/>
          <w:lang w:eastAsia="zh-CN"/>
        </w:rPr>
        <w:t>五</w:t>
      </w:r>
      <w:r>
        <w:rPr>
          <w:rFonts w:hint="eastAsia" w:asciiTheme="majorEastAsia" w:hAnsiTheme="majorEastAsia" w:eastAsiaTheme="majorEastAsia" w:cstheme="majorEastAsia"/>
          <w:b w:val="0"/>
          <w:bCs/>
          <w:sz w:val="28"/>
          <w:szCs w:val="28"/>
        </w:rPr>
        <w:t>、合同模板</w:t>
      </w:r>
    </w:p>
    <w:p>
      <w:pPr>
        <w:spacing w:line="360" w:lineRule="auto"/>
        <w:ind w:firstLine="562" w:firstLineChars="200"/>
        <w:jc w:val="left"/>
        <w:rPr>
          <w:rFonts w:ascii="宋体" w:hAnsi="宋体" w:cs="宋体"/>
          <w:b/>
          <w:bCs/>
          <w:sz w:val="28"/>
          <w:szCs w:val="28"/>
          <w:u w:val="single"/>
        </w:rPr>
      </w:pPr>
      <w:r>
        <w:rPr>
          <w:rFonts w:hint="eastAsia" w:ascii="宋体" w:hAnsi="宋体" w:cs="宋体"/>
          <w:b/>
          <w:bCs/>
          <w:sz w:val="28"/>
          <w:szCs w:val="28"/>
          <w:u w:val="single"/>
        </w:rPr>
        <w:t>投标即默认我司合同模板</w:t>
      </w:r>
    </w:p>
    <w:p>
      <w:pPr>
        <w:snapToGrid w:val="0"/>
        <w:spacing w:before="312" w:beforeLines="100" w:after="312" w:afterLines="100" w:line="360" w:lineRule="auto"/>
        <w:ind w:right="-50" w:rightChars="-24"/>
        <w:jc w:val="center"/>
        <w:rPr>
          <w:rFonts w:ascii="仿宋" w:hAnsi="仿宋" w:eastAsia="仿宋" w:cs="仿宋"/>
          <w:b/>
          <w:bCs/>
          <w:sz w:val="36"/>
          <w:szCs w:val="36"/>
        </w:rPr>
      </w:pPr>
      <w:r>
        <w:rPr>
          <w:rFonts w:hint="eastAsia" w:ascii="仿宋" w:hAnsi="仿宋" w:eastAsia="仿宋" w:cs="仿宋"/>
          <w:b/>
          <w:bCs/>
          <w:sz w:val="36"/>
          <w:szCs w:val="36"/>
        </w:rPr>
        <w:t>XXX设备购销合同</w:t>
      </w:r>
    </w:p>
    <w:p>
      <w:pPr>
        <w:adjustRightInd w:val="0"/>
        <w:snapToGrid w:val="0"/>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 xml:space="preserve">甲方（采购方）：山东金宝电子有限公司 </w:t>
      </w:r>
    </w:p>
    <w:p>
      <w:pPr>
        <w:adjustRightInd w:val="0"/>
        <w:snapToGrid w:val="0"/>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 xml:space="preserve">                山东金都电子材料有限公司</w:t>
      </w:r>
    </w:p>
    <w:p>
      <w:pPr>
        <w:pStyle w:val="13"/>
        <w:ind w:firstLine="281"/>
      </w:pPr>
      <w:r>
        <w:rPr>
          <w:rFonts w:hint="eastAsia" w:ascii="仿宋" w:hAnsi="仿宋" w:eastAsia="仿宋" w:cs="仿宋"/>
          <w:b/>
          <w:sz w:val="28"/>
          <w:szCs w:val="28"/>
        </w:rPr>
        <w:t xml:space="preserve">                 金宝电子（铜陵）有限公司</w:t>
      </w:r>
    </w:p>
    <w:p>
      <w:pPr>
        <w:adjustRightInd w:val="0"/>
        <w:snapToGrid w:val="0"/>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乙方（供货方）： XXX公司</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经甲、乙双方友好协商，本着平等互利的原则，根据《中华人民共和国民法典》及相关法律的规定，就甲方向乙方购买以下设备达成如下协议：</w:t>
      </w:r>
    </w:p>
    <w:p>
      <w:pPr>
        <w:numPr>
          <w:ilvl w:val="0"/>
          <w:numId w:val="3"/>
        </w:numPr>
        <w:adjustRightInd w:val="0"/>
        <w:snapToGrid w:val="0"/>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设备名称、规格型号、数量、单价及合同额：</w:t>
      </w:r>
    </w:p>
    <w:tbl>
      <w:tblPr>
        <w:tblStyle w:val="15"/>
        <w:tblpPr w:leftFromText="180" w:rightFromText="180" w:vertAnchor="text" w:horzAnchor="page" w:tblpX="1574" w:tblpY="134"/>
        <w:tblOverlap w:val="never"/>
        <w:tblW w:w="9711" w:type="dxa"/>
        <w:tblInd w:w="0" w:type="dxa"/>
        <w:tblLayout w:type="fixed"/>
        <w:tblCellMar>
          <w:top w:w="0" w:type="dxa"/>
          <w:left w:w="108" w:type="dxa"/>
          <w:bottom w:w="0" w:type="dxa"/>
          <w:right w:w="108" w:type="dxa"/>
        </w:tblCellMar>
      </w:tblPr>
      <w:tblGrid>
        <w:gridCol w:w="735"/>
        <w:gridCol w:w="2150"/>
        <w:gridCol w:w="1210"/>
        <w:gridCol w:w="750"/>
        <w:gridCol w:w="1980"/>
        <w:gridCol w:w="1635"/>
        <w:gridCol w:w="1251"/>
      </w:tblGrid>
      <w:tr>
        <w:tblPrEx>
          <w:tblCellMar>
            <w:top w:w="0" w:type="dxa"/>
            <w:left w:w="108" w:type="dxa"/>
            <w:bottom w:w="0" w:type="dxa"/>
            <w:right w:w="108" w:type="dxa"/>
          </w:tblCellMar>
        </w:tblPrEx>
        <w:trPr>
          <w:trHeight w:val="1320" w:hRule="atLeast"/>
        </w:trPr>
        <w:tc>
          <w:tcPr>
            <w:tcW w:w="735"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序号</w:t>
            </w:r>
          </w:p>
        </w:tc>
        <w:tc>
          <w:tcPr>
            <w:tcW w:w="2150" w:type="dxa"/>
            <w:tcBorders>
              <w:top w:val="single" w:color="000000" w:sz="8" w:space="0"/>
              <w:left w:val="nil"/>
              <w:bottom w:val="single" w:color="000000" w:sz="8" w:space="0"/>
              <w:right w:val="single" w:color="000000" w:sz="8" w:space="0"/>
            </w:tcBorders>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项目名称</w:t>
            </w:r>
          </w:p>
        </w:tc>
        <w:tc>
          <w:tcPr>
            <w:tcW w:w="1210" w:type="dxa"/>
            <w:tcBorders>
              <w:top w:val="single" w:color="000000" w:sz="8" w:space="0"/>
              <w:left w:val="nil"/>
              <w:bottom w:val="single" w:color="000000" w:sz="8" w:space="0"/>
              <w:right w:val="single" w:color="000000" w:sz="8" w:space="0"/>
            </w:tcBorders>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单位</w:t>
            </w:r>
          </w:p>
        </w:tc>
        <w:tc>
          <w:tcPr>
            <w:tcW w:w="750" w:type="dxa"/>
            <w:tcBorders>
              <w:top w:val="single" w:color="000000" w:sz="8" w:space="0"/>
              <w:left w:val="nil"/>
              <w:bottom w:val="single" w:color="000000" w:sz="8" w:space="0"/>
              <w:right w:val="single" w:color="000000" w:sz="8" w:space="0"/>
            </w:tcBorders>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数量</w:t>
            </w:r>
          </w:p>
        </w:tc>
        <w:tc>
          <w:tcPr>
            <w:tcW w:w="1980" w:type="dxa"/>
            <w:tcBorders>
              <w:top w:val="single" w:color="000000" w:sz="8" w:space="0"/>
              <w:left w:val="nil"/>
              <w:bottom w:val="single" w:color="000000" w:sz="8" w:space="0"/>
              <w:right w:val="single" w:color="000000" w:sz="8" w:space="0"/>
            </w:tcBorders>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单价（元）</w:t>
            </w:r>
          </w:p>
        </w:tc>
        <w:tc>
          <w:tcPr>
            <w:tcW w:w="1635" w:type="dxa"/>
            <w:tcBorders>
              <w:top w:val="single" w:color="000000" w:sz="8" w:space="0"/>
              <w:left w:val="nil"/>
              <w:bottom w:val="single" w:color="000000" w:sz="8" w:space="0"/>
              <w:right w:val="single" w:color="000000" w:sz="8" w:space="0"/>
            </w:tcBorders>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总价（元）</w:t>
            </w:r>
          </w:p>
        </w:tc>
        <w:tc>
          <w:tcPr>
            <w:tcW w:w="1251" w:type="dxa"/>
            <w:tcBorders>
              <w:top w:val="single" w:color="000000" w:sz="8" w:space="0"/>
              <w:left w:val="nil"/>
              <w:bottom w:val="single" w:color="000000" w:sz="8" w:space="0"/>
              <w:right w:val="single" w:color="000000" w:sz="8" w:space="0"/>
            </w:tcBorders>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备注</w:t>
            </w:r>
          </w:p>
        </w:tc>
      </w:tr>
      <w:tr>
        <w:tblPrEx>
          <w:tblCellMar>
            <w:top w:w="0" w:type="dxa"/>
            <w:left w:w="108" w:type="dxa"/>
            <w:bottom w:w="0" w:type="dxa"/>
            <w:right w:w="108" w:type="dxa"/>
          </w:tblCellMar>
        </w:tblPrEx>
        <w:trPr>
          <w:trHeight w:val="960" w:hRule="atLeast"/>
        </w:trPr>
        <w:tc>
          <w:tcPr>
            <w:tcW w:w="735" w:type="dxa"/>
            <w:tcBorders>
              <w:top w:val="nil"/>
              <w:left w:val="single" w:color="000000" w:sz="8" w:space="0"/>
              <w:bottom w:val="nil"/>
              <w:right w:val="single" w:color="000000" w:sz="8" w:space="0"/>
            </w:tcBorders>
            <w:vAlign w:val="center"/>
          </w:tcPr>
          <w:p>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1</w:t>
            </w:r>
          </w:p>
        </w:tc>
        <w:tc>
          <w:tcPr>
            <w:tcW w:w="2150" w:type="dxa"/>
            <w:tcBorders>
              <w:top w:val="nil"/>
              <w:left w:val="nil"/>
              <w:bottom w:val="nil"/>
              <w:right w:val="single" w:color="000000" w:sz="8" w:space="0"/>
            </w:tcBorders>
            <w:vAlign w:val="center"/>
          </w:tcPr>
          <w:p>
            <w:pPr>
              <w:widowControl/>
              <w:textAlignment w:val="center"/>
              <w:rPr>
                <w:rFonts w:ascii="仿宋" w:hAnsi="仿宋" w:eastAsia="仿宋" w:cs="仿宋"/>
                <w:b/>
                <w:bCs/>
                <w:color w:val="000000"/>
                <w:sz w:val="28"/>
                <w:szCs w:val="28"/>
              </w:rPr>
            </w:pPr>
          </w:p>
        </w:tc>
        <w:tc>
          <w:tcPr>
            <w:tcW w:w="1210" w:type="dxa"/>
            <w:tcBorders>
              <w:top w:val="nil"/>
              <w:left w:val="nil"/>
              <w:bottom w:val="nil"/>
              <w:right w:val="single" w:color="000000" w:sz="8" w:space="0"/>
            </w:tcBorders>
            <w:vAlign w:val="center"/>
          </w:tcPr>
          <w:p>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台</w:t>
            </w:r>
          </w:p>
        </w:tc>
        <w:tc>
          <w:tcPr>
            <w:tcW w:w="750" w:type="dxa"/>
            <w:tcBorders>
              <w:top w:val="nil"/>
              <w:left w:val="nil"/>
              <w:bottom w:val="nil"/>
              <w:right w:val="single" w:color="000000" w:sz="8" w:space="0"/>
            </w:tcBorders>
            <w:vAlign w:val="center"/>
          </w:tcPr>
          <w:p>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1</w:t>
            </w:r>
          </w:p>
        </w:tc>
        <w:tc>
          <w:tcPr>
            <w:tcW w:w="1980" w:type="dxa"/>
            <w:tcBorders>
              <w:top w:val="nil"/>
              <w:left w:val="nil"/>
              <w:bottom w:val="nil"/>
              <w:right w:val="single" w:color="000000" w:sz="8" w:space="0"/>
            </w:tcBorders>
            <w:vAlign w:val="center"/>
          </w:tcPr>
          <w:p>
            <w:pPr>
              <w:widowControl/>
              <w:jc w:val="center"/>
              <w:textAlignment w:val="center"/>
              <w:rPr>
                <w:rFonts w:ascii="仿宋" w:hAnsi="仿宋" w:eastAsia="仿宋" w:cs="仿宋"/>
                <w:color w:val="000000"/>
                <w:sz w:val="28"/>
                <w:szCs w:val="28"/>
              </w:rPr>
            </w:pPr>
          </w:p>
        </w:tc>
        <w:tc>
          <w:tcPr>
            <w:tcW w:w="1635" w:type="dxa"/>
            <w:tcBorders>
              <w:top w:val="nil"/>
              <w:left w:val="nil"/>
              <w:bottom w:val="nil"/>
              <w:right w:val="single" w:color="000000" w:sz="8" w:space="0"/>
            </w:tcBorders>
            <w:vAlign w:val="center"/>
          </w:tcPr>
          <w:p>
            <w:pPr>
              <w:widowControl/>
              <w:jc w:val="center"/>
              <w:textAlignment w:val="center"/>
              <w:rPr>
                <w:rFonts w:ascii="仿宋" w:hAnsi="仿宋" w:eastAsia="仿宋" w:cs="仿宋"/>
                <w:color w:val="000000"/>
                <w:sz w:val="28"/>
                <w:szCs w:val="28"/>
              </w:rPr>
            </w:pPr>
          </w:p>
        </w:tc>
        <w:tc>
          <w:tcPr>
            <w:tcW w:w="1251" w:type="dxa"/>
            <w:tcBorders>
              <w:top w:val="nil"/>
              <w:left w:val="nil"/>
              <w:bottom w:val="nil"/>
              <w:right w:val="single" w:color="000000" w:sz="8" w:space="0"/>
            </w:tcBorders>
            <w:noWrap/>
            <w:vAlign w:val="center"/>
          </w:tcPr>
          <w:p>
            <w:pPr>
              <w:rPr>
                <w:rFonts w:ascii="宋体" w:hAnsi="宋体" w:cs="宋体"/>
                <w:color w:val="000000"/>
                <w:sz w:val="22"/>
                <w:szCs w:val="22"/>
              </w:rPr>
            </w:pPr>
          </w:p>
        </w:tc>
      </w:tr>
      <w:tr>
        <w:trPr>
          <w:trHeight w:val="721" w:hRule="atLeast"/>
        </w:trPr>
        <w:tc>
          <w:tcPr>
            <w:tcW w:w="9711" w:type="dxa"/>
            <w:gridSpan w:val="7"/>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合计人民币（大写）：xxx（￥:xxx元）</w:t>
            </w:r>
          </w:p>
        </w:tc>
      </w:tr>
      <w:tr>
        <w:tblPrEx>
          <w:tblCellMar>
            <w:top w:w="0" w:type="dxa"/>
            <w:left w:w="108" w:type="dxa"/>
            <w:bottom w:w="0" w:type="dxa"/>
            <w:right w:w="108" w:type="dxa"/>
          </w:tblCellMar>
        </w:tblPrEx>
        <w:trPr>
          <w:trHeight w:val="480" w:hRule="atLeast"/>
        </w:trPr>
        <w:tc>
          <w:tcPr>
            <w:tcW w:w="9711" w:type="dxa"/>
            <w:gridSpan w:val="7"/>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含xx%增值税、运费、安装调试费</w:t>
            </w:r>
          </w:p>
        </w:tc>
      </w:tr>
    </w:tbl>
    <w:p>
      <w:pPr>
        <w:pStyle w:val="13"/>
        <w:ind w:left="210" w:leftChars="100" w:firstLine="0" w:firstLineChars="0"/>
      </w:pP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二、交货地点、时间、方式</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1.交货地点：XX省XX市XX路XX号；</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2.交货时间：合同生效后，XX日之前货到甲方指定地点；</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3.运输方式、运输责任及运输费用负担：乙方负责到甲方工厂的包装、装卸货、运输及保险费用。</w:t>
      </w:r>
    </w:p>
    <w:p>
      <w:pPr>
        <w:adjustRightInd w:val="0"/>
        <w:snapToGrid w:val="0"/>
        <w:spacing w:line="360" w:lineRule="auto"/>
        <w:ind w:firstLine="562" w:firstLineChars="200"/>
      </w:pPr>
      <w:r>
        <w:rPr>
          <w:rFonts w:hint="eastAsia" w:ascii="仿宋" w:hAnsi="仿宋" w:eastAsia="仿宋" w:cs="仿宋"/>
          <w:b/>
          <w:bCs/>
          <w:sz w:val="28"/>
          <w:szCs w:val="28"/>
        </w:rPr>
        <w:t>三、付款方式</w:t>
      </w: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sz w:val="28"/>
          <w:szCs w:val="28"/>
        </w:rPr>
        <w:t>1.预付款：</w:t>
      </w:r>
      <w:r>
        <w:rPr>
          <w:rFonts w:hint="eastAsia" w:ascii="仿宋" w:hAnsi="仿宋" w:eastAsia="仿宋" w:cs="仿宋"/>
          <w:spacing w:val="-3"/>
          <w:sz w:val="28"/>
          <w:szCs w:val="28"/>
          <w:lang w:val="en-GB"/>
        </w:rPr>
        <w:t>签订合同，</w:t>
      </w:r>
      <w:r>
        <w:rPr>
          <w:rFonts w:hint="eastAsia" w:ascii="仿宋" w:hAnsi="仿宋" w:eastAsia="仿宋" w:cs="仿宋"/>
          <w:spacing w:val="-3"/>
          <w:sz w:val="28"/>
          <w:szCs w:val="28"/>
        </w:rPr>
        <w:t>甲方以银行承兑（6个月）支付乙方</w:t>
      </w:r>
      <w:r>
        <w:rPr>
          <w:rFonts w:hint="eastAsia" w:ascii="仿宋" w:hAnsi="仿宋" w:eastAsia="仿宋" w:cs="仿宋"/>
          <w:spacing w:val="-3"/>
          <w:sz w:val="28"/>
          <w:szCs w:val="28"/>
          <w:lang w:val="en-GB"/>
        </w:rPr>
        <w:t>合同总价</w:t>
      </w:r>
      <w:r>
        <w:rPr>
          <w:rFonts w:hint="eastAsia" w:ascii="仿宋" w:hAnsi="仿宋" w:eastAsia="仿宋" w:cs="仿宋"/>
          <w:spacing w:val="-3"/>
          <w:sz w:val="28"/>
          <w:szCs w:val="28"/>
        </w:rPr>
        <w:t>XX</w:t>
      </w:r>
      <w:r>
        <w:rPr>
          <w:rFonts w:hint="eastAsia" w:ascii="仿宋" w:hAnsi="仿宋" w:eastAsia="仿宋" w:cs="仿宋"/>
          <w:spacing w:val="-3"/>
          <w:sz w:val="28"/>
          <w:szCs w:val="28"/>
          <w:lang w:val="en-GB"/>
        </w:rPr>
        <w:t xml:space="preserve"> % 做为预付款，即</w:t>
      </w:r>
      <w:r>
        <w:rPr>
          <w:rFonts w:hint="eastAsia" w:ascii="仿宋" w:hAnsi="仿宋" w:eastAsia="仿宋" w:cs="仿宋"/>
          <w:sz w:val="28"/>
          <w:szCs w:val="28"/>
        </w:rPr>
        <w:t>RMB XX元</w:t>
      </w:r>
      <w:r>
        <w:rPr>
          <w:rFonts w:hint="eastAsia" w:ascii="仿宋" w:hAnsi="仿宋" w:eastAsia="仿宋" w:cs="仿宋"/>
          <w:spacing w:val="-3"/>
          <w:sz w:val="28"/>
          <w:szCs w:val="28"/>
          <w:lang w:val="en-GB"/>
        </w:rPr>
        <w:t>，（大写）：</w:t>
      </w:r>
      <w:r>
        <w:rPr>
          <w:rFonts w:hint="eastAsia" w:ascii="仿宋" w:hAnsi="仿宋" w:eastAsia="仿宋" w:cs="仿宋"/>
          <w:sz w:val="28"/>
          <w:szCs w:val="28"/>
        </w:rPr>
        <w:t>人民币XX 万元</w:t>
      </w:r>
      <w:r>
        <w:rPr>
          <w:rFonts w:hint="eastAsia" w:ascii="仿宋" w:hAnsi="仿宋" w:eastAsia="仿宋" w:cs="仿宋"/>
          <w:spacing w:val="-3"/>
          <w:sz w:val="28"/>
          <w:szCs w:val="28"/>
          <w:lang w:val="en-GB"/>
        </w:rPr>
        <w:t>整），</w:t>
      </w:r>
      <w:r>
        <w:rPr>
          <w:rFonts w:hint="eastAsia" w:ascii="仿宋" w:hAnsi="仿宋" w:eastAsia="仿宋" w:cs="仿宋"/>
          <w:spacing w:val="-3"/>
          <w:sz w:val="28"/>
          <w:szCs w:val="28"/>
        </w:rPr>
        <w:t>乙方10个日历日内开具等额的增值税发票交付甲方；</w:t>
      </w:r>
    </w:p>
    <w:p>
      <w:pPr>
        <w:adjustRightInd w:val="0"/>
        <w:snapToGrid w:val="0"/>
        <w:spacing w:line="360" w:lineRule="auto"/>
        <w:ind w:firstLine="562" w:firstLineChars="200"/>
        <w:rPr>
          <w:rFonts w:ascii="仿宋" w:hAnsi="仿宋" w:eastAsia="仿宋" w:cs="仿宋"/>
          <w:spacing w:val="-3"/>
          <w:sz w:val="28"/>
          <w:szCs w:val="28"/>
          <w:lang w:val="en-GB"/>
        </w:rPr>
      </w:pPr>
      <w:r>
        <w:rPr>
          <w:rFonts w:hint="eastAsia" w:ascii="仿宋" w:hAnsi="仿宋" w:eastAsia="仿宋" w:cs="仿宋"/>
          <w:b/>
          <w:sz w:val="28"/>
          <w:szCs w:val="28"/>
        </w:rPr>
        <w:t>2.发货款：</w:t>
      </w:r>
      <w:r>
        <w:rPr>
          <w:rFonts w:hint="eastAsia" w:ascii="仿宋" w:hAnsi="仿宋" w:eastAsia="仿宋" w:cs="仿宋"/>
          <w:spacing w:val="-3"/>
          <w:sz w:val="28"/>
          <w:szCs w:val="28"/>
          <w:lang w:val="en-GB"/>
        </w:rPr>
        <w:t>设备</w:t>
      </w:r>
      <w:r>
        <w:rPr>
          <w:rFonts w:hint="eastAsia" w:ascii="仿宋" w:hAnsi="仿宋" w:eastAsia="仿宋" w:cs="仿宋"/>
          <w:spacing w:val="-3"/>
          <w:sz w:val="28"/>
          <w:szCs w:val="28"/>
        </w:rPr>
        <w:t>制作完成后，乙方提前10个日历日通知甲方，甲方</w:t>
      </w:r>
      <w:r>
        <w:rPr>
          <w:rFonts w:hint="eastAsia" w:ascii="仿宋" w:hAnsi="仿宋" w:eastAsia="仿宋" w:cs="仿宋"/>
          <w:spacing w:val="-3"/>
          <w:sz w:val="28"/>
          <w:szCs w:val="28"/>
          <w:lang w:val="en-GB"/>
        </w:rPr>
        <w:t>收到乙方开具的等额增值税专用发票后</w:t>
      </w:r>
      <w:r>
        <w:rPr>
          <w:rFonts w:hint="eastAsia" w:ascii="仿宋" w:hAnsi="仿宋" w:eastAsia="仿宋" w:cs="仿宋"/>
          <w:spacing w:val="-3"/>
          <w:sz w:val="28"/>
          <w:szCs w:val="28"/>
        </w:rPr>
        <w:t>10个</w:t>
      </w:r>
      <w:r>
        <w:rPr>
          <w:rFonts w:hint="eastAsia" w:ascii="仿宋" w:hAnsi="仿宋" w:eastAsia="仿宋" w:cs="仿宋"/>
          <w:sz w:val="28"/>
          <w:szCs w:val="28"/>
        </w:rPr>
        <w:t>日历日</w:t>
      </w:r>
      <w:r>
        <w:rPr>
          <w:rFonts w:hint="eastAsia" w:ascii="仿宋" w:hAnsi="仿宋" w:eastAsia="仿宋" w:cs="仿宋"/>
          <w:spacing w:val="-3"/>
          <w:sz w:val="28"/>
          <w:szCs w:val="28"/>
        </w:rPr>
        <w:t>内以银行承兑（6个月）支付乙方</w:t>
      </w:r>
      <w:r>
        <w:rPr>
          <w:rFonts w:hint="eastAsia" w:ascii="仿宋" w:hAnsi="仿宋" w:eastAsia="仿宋" w:cs="仿宋"/>
          <w:spacing w:val="-3"/>
          <w:sz w:val="28"/>
          <w:szCs w:val="28"/>
          <w:lang w:val="en-GB"/>
        </w:rPr>
        <w:t>合同总价</w:t>
      </w:r>
      <w:r>
        <w:rPr>
          <w:rFonts w:hint="eastAsia" w:ascii="仿宋" w:hAnsi="仿宋" w:eastAsia="仿宋" w:cs="仿宋"/>
          <w:spacing w:val="-3"/>
          <w:sz w:val="28"/>
          <w:szCs w:val="28"/>
        </w:rPr>
        <w:t>XX</w:t>
      </w:r>
      <w:r>
        <w:rPr>
          <w:rFonts w:hint="eastAsia" w:ascii="仿宋" w:hAnsi="仿宋" w:eastAsia="仿宋" w:cs="仿宋"/>
          <w:spacing w:val="-3"/>
          <w:sz w:val="28"/>
          <w:szCs w:val="28"/>
          <w:lang w:val="en-GB"/>
        </w:rPr>
        <w:t xml:space="preserve"> % 的款项，即</w:t>
      </w:r>
      <w:r>
        <w:rPr>
          <w:rFonts w:hint="eastAsia" w:ascii="仿宋" w:hAnsi="仿宋" w:eastAsia="仿宋" w:cs="仿宋"/>
          <w:sz w:val="28"/>
          <w:szCs w:val="28"/>
        </w:rPr>
        <w:t>RMB XX 元</w:t>
      </w:r>
      <w:r>
        <w:rPr>
          <w:rFonts w:hint="eastAsia" w:ascii="仿宋" w:hAnsi="仿宋" w:eastAsia="仿宋" w:cs="仿宋"/>
          <w:spacing w:val="-3"/>
          <w:sz w:val="28"/>
          <w:szCs w:val="28"/>
          <w:lang w:val="en-GB"/>
        </w:rPr>
        <w:t>，（大写）：</w:t>
      </w:r>
      <w:r>
        <w:rPr>
          <w:rFonts w:hint="eastAsia" w:ascii="仿宋" w:hAnsi="仿宋" w:eastAsia="仿宋" w:cs="仿宋"/>
          <w:sz w:val="28"/>
          <w:szCs w:val="28"/>
        </w:rPr>
        <w:t>人民币XX万</w:t>
      </w:r>
      <w:r>
        <w:rPr>
          <w:rFonts w:hint="eastAsia" w:ascii="仿宋" w:hAnsi="仿宋" w:eastAsia="仿宋" w:cs="仿宋"/>
          <w:spacing w:val="-3"/>
          <w:sz w:val="28"/>
          <w:szCs w:val="28"/>
          <w:lang w:val="en-GB"/>
        </w:rPr>
        <w:t>元整）；</w:t>
      </w:r>
    </w:p>
    <w:p>
      <w:pPr>
        <w:adjustRightInd w:val="0"/>
        <w:snapToGrid w:val="0"/>
        <w:spacing w:line="360" w:lineRule="auto"/>
        <w:ind w:firstLine="562" w:firstLineChars="200"/>
        <w:rPr>
          <w:rFonts w:ascii="仿宋" w:hAnsi="仿宋" w:eastAsia="仿宋" w:cs="仿宋"/>
          <w:spacing w:val="-3"/>
          <w:sz w:val="28"/>
          <w:szCs w:val="28"/>
          <w:lang w:val="en-GB"/>
        </w:rPr>
      </w:pPr>
      <w:r>
        <w:rPr>
          <w:rFonts w:hint="eastAsia" w:ascii="仿宋" w:hAnsi="仿宋" w:eastAsia="仿宋" w:cs="仿宋"/>
          <w:b/>
          <w:sz w:val="28"/>
          <w:szCs w:val="28"/>
        </w:rPr>
        <w:t>3.验收款：</w:t>
      </w:r>
      <w:r>
        <w:rPr>
          <w:rFonts w:hint="eastAsia" w:ascii="仿宋" w:hAnsi="仿宋" w:eastAsia="仿宋" w:cs="仿宋"/>
          <w:spacing w:val="-3"/>
          <w:sz w:val="28"/>
          <w:szCs w:val="28"/>
          <w:lang w:val="en-GB"/>
        </w:rPr>
        <w:t>设备</w:t>
      </w:r>
      <w:r>
        <w:rPr>
          <w:rFonts w:hint="eastAsia" w:ascii="仿宋" w:hAnsi="仿宋" w:eastAsia="仿宋" w:cs="仿宋"/>
          <w:spacing w:val="-3"/>
          <w:sz w:val="28"/>
          <w:szCs w:val="28"/>
        </w:rPr>
        <w:t>安装调试完成，收到乙方开具的剩余全额增值税专用发票后，甲方10个</w:t>
      </w:r>
      <w:r>
        <w:rPr>
          <w:rFonts w:hint="eastAsia" w:ascii="仿宋" w:hAnsi="仿宋" w:eastAsia="仿宋" w:cs="仿宋"/>
          <w:sz w:val="28"/>
          <w:szCs w:val="28"/>
        </w:rPr>
        <w:t>日历日</w:t>
      </w:r>
      <w:r>
        <w:rPr>
          <w:rFonts w:hint="eastAsia" w:ascii="仿宋" w:hAnsi="仿宋" w:eastAsia="仿宋" w:cs="仿宋"/>
          <w:spacing w:val="-3"/>
          <w:sz w:val="28"/>
          <w:szCs w:val="28"/>
        </w:rPr>
        <w:t>内以银行承兑（6个月）支付乙方</w:t>
      </w:r>
      <w:r>
        <w:rPr>
          <w:rFonts w:hint="eastAsia" w:ascii="仿宋" w:hAnsi="仿宋" w:eastAsia="仿宋" w:cs="仿宋"/>
          <w:spacing w:val="-3"/>
          <w:sz w:val="28"/>
          <w:szCs w:val="28"/>
          <w:lang w:val="en-GB"/>
        </w:rPr>
        <w:t>合同总价</w:t>
      </w:r>
      <w:r>
        <w:rPr>
          <w:rFonts w:hint="eastAsia" w:ascii="仿宋" w:hAnsi="仿宋" w:eastAsia="仿宋" w:cs="仿宋"/>
          <w:spacing w:val="-3"/>
          <w:sz w:val="28"/>
          <w:szCs w:val="28"/>
        </w:rPr>
        <w:t>XX</w:t>
      </w:r>
      <w:r>
        <w:rPr>
          <w:rFonts w:hint="eastAsia" w:ascii="仿宋" w:hAnsi="仿宋" w:eastAsia="仿宋" w:cs="仿宋"/>
          <w:spacing w:val="-3"/>
          <w:sz w:val="28"/>
          <w:szCs w:val="28"/>
          <w:lang w:val="en-GB"/>
        </w:rPr>
        <w:t>% 的款项，即</w:t>
      </w:r>
      <w:r>
        <w:rPr>
          <w:rFonts w:hint="eastAsia" w:ascii="仿宋" w:hAnsi="仿宋" w:eastAsia="仿宋" w:cs="仿宋"/>
          <w:sz w:val="28"/>
          <w:szCs w:val="28"/>
        </w:rPr>
        <w:t>RMB XX元</w:t>
      </w:r>
      <w:r>
        <w:rPr>
          <w:rFonts w:hint="eastAsia" w:ascii="仿宋" w:hAnsi="仿宋" w:eastAsia="仿宋" w:cs="仿宋"/>
          <w:spacing w:val="-3"/>
          <w:sz w:val="28"/>
          <w:szCs w:val="28"/>
          <w:lang w:val="en-GB"/>
        </w:rPr>
        <w:t>，（大写）：</w:t>
      </w:r>
      <w:r>
        <w:rPr>
          <w:rFonts w:hint="eastAsia" w:ascii="仿宋" w:hAnsi="仿宋" w:eastAsia="仿宋" w:cs="仿宋"/>
          <w:sz w:val="28"/>
          <w:szCs w:val="28"/>
        </w:rPr>
        <w:t>人民币XX万</w:t>
      </w:r>
      <w:r>
        <w:rPr>
          <w:rFonts w:hint="eastAsia" w:ascii="仿宋" w:hAnsi="仿宋" w:eastAsia="仿宋" w:cs="仿宋"/>
          <w:spacing w:val="-3"/>
          <w:sz w:val="28"/>
          <w:szCs w:val="28"/>
          <w:lang w:val="en-GB"/>
        </w:rPr>
        <w:t>元整）；</w:t>
      </w:r>
    </w:p>
    <w:p>
      <w:pPr>
        <w:adjustRightInd w:val="0"/>
        <w:snapToGrid w:val="0"/>
        <w:spacing w:line="360" w:lineRule="auto"/>
        <w:ind w:firstLine="562" w:firstLineChars="200"/>
        <w:rPr>
          <w:rFonts w:ascii="仿宋" w:hAnsi="仿宋" w:eastAsia="仿宋" w:cs="仿宋"/>
          <w:spacing w:val="-3"/>
          <w:sz w:val="28"/>
          <w:szCs w:val="28"/>
          <w:lang w:val="en-GB"/>
        </w:rPr>
      </w:pPr>
      <w:r>
        <w:rPr>
          <w:rFonts w:hint="eastAsia" w:ascii="仿宋" w:hAnsi="仿宋" w:eastAsia="仿宋" w:cs="仿宋"/>
          <w:b/>
          <w:sz w:val="28"/>
          <w:szCs w:val="28"/>
        </w:rPr>
        <w:t>4.保固款：</w:t>
      </w:r>
      <w:r>
        <w:rPr>
          <w:rFonts w:hint="eastAsia" w:ascii="仿宋" w:hAnsi="仿宋" w:eastAsia="仿宋" w:cs="仿宋"/>
          <w:sz w:val="28"/>
          <w:szCs w:val="28"/>
        </w:rPr>
        <w:t>质保期期满后，双方确认无任何纠纷 15日历日内，</w:t>
      </w:r>
      <w:r>
        <w:rPr>
          <w:rFonts w:hint="eastAsia" w:ascii="仿宋" w:hAnsi="仿宋" w:eastAsia="仿宋" w:cs="仿宋"/>
          <w:spacing w:val="-3"/>
          <w:sz w:val="28"/>
          <w:szCs w:val="28"/>
        </w:rPr>
        <w:t>甲方支付乙方</w:t>
      </w:r>
      <w:r>
        <w:rPr>
          <w:rFonts w:hint="eastAsia" w:ascii="仿宋" w:hAnsi="仿宋" w:eastAsia="仿宋" w:cs="仿宋"/>
          <w:sz w:val="28"/>
          <w:szCs w:val="28"/>
        </w:rPr>
        <w:t>合同总价的XX %的款项</w:t>
      </w:r>
      <w:r>
        <w:rPr>
          <w:rFonts w:hint="eastAsia" w:ascii="仿宋" w:hAnsi="仿宋" w:eastAsia="仿宋" w:cs="仿宋"/>
          <w:spacing w:val="-3"/>
          <w:sz w:val="28"/>
          <w:szCs w:val="28"/>
          <w:lang w:val="en-GB"/>
        </w:rPr>
        <w:t>，即</w:t>
      </w:r>
      <w:r>
        <w:rPr>
          <w:rFonts w:hint="eastAsia" w:ascii="仿宋" w:hAnsi="仿宋" w:eastAsia="仿宋" w:cs="仿宋"/>
          <w:sz w:val="28"/>
          <w:szCs w:val="28"/>
        </w:rPr>
        <w:t>RMBXX元</w:t>
      </w:r>
      <w:r>
        <w:rPr>
          <w:rFonts w:hint="eastAsia" w:ascii="仿宋" w:hAnsi="仿宋" w:eastAsia="仿宋" w:cs="仿宋"/>
          <w:spacing w:val="-3"/>
          <w:sz w:val="28"/>
          <w:szCs w:val="28"/>
          <w:lang w:val="en-GB"/>
        </w:rPr>
        <w:t>，（大写）：</w:t>
      </w:r>
      <w:r>
        <w:rPr>
          <w:rFonts w:hint="eastAsia" w:ascii="仿宋" w:hAnsi="仿宋" w:eastAsia="仿宋" w:cs="仿宋"/>
          <w:sz w:val="28"/>
          <w:szCs w:val="28"/>
        </w:rPr>
        <w:t>人民币XX万元</w:t>
      </w:r>
      <w:r>
        <w:rPr>
          <w:rFonts w:hint="eastAsia" w:ascii="仿宋" w:hAnsi="仿宋" w:eastAsia="仿宋" w:cs="仿宋"/>
          <w:spacing w:val="-3"/>
          <w:sz w:val="28"/>
          <w:szCs w:val="28"/>
          <w:lang w:val="en-GB"/>
        </w:rPr>
        <w:t>整）。</w:t>
      </w:r>
    </w:p>
    <w:p>
      <w:pPr>
        <w:pStyle w:val="13"/>
        <w:ind w:firstLine="550" w:firstLineChars="200"/>
        <w:rPr>
          <w:b/>
          <w:bCs/>
          <w:u w:val="single"/>
        </w:rPr>
      </w:pPr>
      <w:r>
        <w:rPr>
          <w:rFonts w:hint="eastAsia" w:ascii="仿宋" w:hAnsi="仿宋" w:eastAsia="仿宋" w:cs="仿宋"/>
          <w:b/>
          <w:bCs/>
          <w:spacing w:val="-3"/>
          <w:sz w:val="28"/>
          <w:szCs w:val="28"/>
          <w:u w:val="single"/>
        </w:rPr>
        <w:t>（以上付款方式根据中标通知书）</w:t>
      </w:r>
    </w:p>
    <w:p>
      <w:pPr>
        <w:adjustRightInd w:val="0"/>
        <w:snapToGrid w:val="0"/>
        <w:spacing w:line="360" w:lineRule="auto"/>
        <w:ind w:firstLine="562" w:firstLineChars="200"/>
        <w:rPr>
          <w:rFonts w:ascii="仿宋" w:hAnsi="仿宋" w:eastAsia="仿宋" w:cs="仿宋"/>
          <w:sz w:val="28"/>
          <w:szCs w:val="28"/>
        </w:rPr>
      </w:pPr>
      <w:r>
        <w:rPr>
          <w:rFonts w:hint="eastAsia" w:ascii="仿宋" w:hAnsi="仿宋" w:eastAsia="仿宋" w:cs="仿宋"/>
          <w:b/>
          <w:bCs/>
          <w:sz w:val="28"/>
          <w:szCs w:val="28"/>
        </w:rPr>
        <w:t>四、安装、调试和验收</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1.乙方负责设备安装及调试，负责卸车、吊装、搬运、报检及产生的费用；甲方负责水、电供应及产生的费用（</w:t>
      </w:r>
      <w:r>
        <w:rPr>
          <w:rFonts w:hint="eastAsia" w:ascii="仿宋" w:hAnsi="仿宋" w:eastAsia="仿宋" w:cs="仿宋"/>
          <w:b/>
          <w:bCs/>
          <w:sz w:val="28"/>
          <w:szCs w:val="28"/>
          <w:u w:val="single"/>
        </w:rPr>
        <w:t>或根据洽谈</w:t>
      </w:r>
      <w:r>
        <w:rPr>
          <w:rFonts w:hint="eastAsia" w:ascii="仿宋" w:hAnsi="仿宋" w:eastAsia="仿宋" w:cs="仿宋"/>
          <w:sz w:val="28"/>
          <w:szCs w:val="28"/>
        </w:rPr>
        <w:t>），且指定接口位置；</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2.安装调试时间：至XX年XX月XX日前安装及调试完成，甲方配合乙方调试；</w:t>
      </w:r>
    </w:p>
    <w:p>
      <w:pPr>
        <w:adjustRightInd w:val="0"/>
        <w:snapToGrid w:val="0"/>
        <w:spacing w:line="360" w:lineRule="auto"/>
        <w:ind w:firstLine="560" w:firstLineChars="200"/>
        <w:rPr>
          <w:rFonts w:ascii="仿宋" w:hAnsi="仿宋" w:eastAsia="仿宋" w:cs="仿宋"/>
        </w:rPr>
      </w:pPr>
      <w:r>
        <w:rPr>
          <w:rFonts w:hint="eastAsia" w:ascii="仿宋" w:hAnsi="仿宋" w:eastAsia="仿宋" w:cs="仿宋"/>
          <w:sz w:val="28"/>
          <w:szCs w:val="28"/>
        </w:rPr>
        <w:t>3.验收标准：双方共同依据设备技术标准进行设备的验收；</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4.乙方可将剩余材料、自带用于调试的工具带出厂区；</w:t>
      </w:r>
    </w:p>
    <w:p>
      <w:pPr>
        <w:pStyle w:val="13"/>
        <w:ind w:firstLine="0" w:firstLineChars="0"/>
      </w:pPr>
      <w:r>
        <w:rPr>
          <w:rFonts w:hint="eastAsia" w:ascii="仿宋" w:hAnsi="仿宋" w:eastAsia="仿宋" w:cs="仿宋"/>
          <w:sz w:val="28"/>
          <w:szCs w:val="28"/>
        </w:rPr>
        <w:t xml:space="preserve">    5.乙方指定xxx为安装现场安全管理负责人，电话：xxx，身份证号码：xxx，安全管理资格证书：xxx。相关人员应持有相应的作业证书。</w:t>
      </w:r>
    </w:p>
    <w:p>
      <w:pPr>
        <w:adjustRightInd w:val="0"/>
        <w:snapToGrid w:val="0"/>
        <w:spacing w:line="360" w:lineRule="auto"/>
        <w:ind w:firstLine="562" w:firstLineChars="200"/>
        <w:rPr>
          <w:rFonts w:ascii="仿宋" w:hAnsi="仿宋" w:eastAsia="仿宋" w:cs="仿宋"/>
        </w:rPr>
      </w:pPr>
      <w:r>
        <w:rPr>
          <w:rFonts w:hint="eastAsia" w:ascii="仿宋" w:hAnsi="仿宋" w:eastAsia="仿宋" w:cs="仿宋"/>
          <w:b/>
          <w:bCs/>
          <w:sz w:val="28"/>
          <w:szCs w:val="28"/>
        </w:rPr>
        <w:t>五、设备技术标准</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1.以《技术附件》文件为准（</w:t>
      </w:r>
      <w:r>
        <w:rPr>
          <w:rFonts w:hint="eastAsia" w:ascii="仿宋" w:hAnsi="仿宋" w:eastAsia="仿宋" w:cs="仿宋"/>
          <w:b/>
          <w:bCs/>
          <w:sz w:val="28"/>
          <w:szCs w:val="28"/>
          <w:u w:val="single"/>
        </w:rPr>
        <w:t>若无技术附件，此项可列入技术要求</w:t>
      </w:r>
      <w:r>
        <w:rPr>
          <w:rFonts w:hint="eastAsia" w:ascii="仿宋" w:hAnsi="仿宋" w:eastAsia="仿宋" w:cs="仿宋"/>
          <w:sz w:val="28"/>
          <w:szCs w:val="28"/>
        </w:rPr>
        <w:t>），乙方必须保证合同标的产品的质量符合相关参数的要求，标的产品所使用的零配件需与规定的一致，否则按违约处理；</w:t>
      </w:r>
    </w:p>
    <w:p>
      <w:pPr>
        <w:spacing w:line="360" w:lineRule="auto"/>
        <w:ind w:firstLine="560" w:firstLineChars="200"/>
        <w:rPr>
          <w:rFonts w:ascii="仿宋" w:hAnsi="仿宋" w:eastAsia="仿宋" w:cs="仿宋"/>
        </w:rPr>
      </w:pPr>
      <w:r>
        <w:rPr>
          <w:rFonts w:hint="eastAsia" w:ascii="仿宋" w:hAnsi="仿宋" w:eastAsia="仿宋" w:cs="仿宋"/>
          <w:sz w:val="28"/>
          <w:szCs w:val="28"/>
        </w:rPr>
        <w:t>2.乙方保证所交付的设备排放标准满足国家及甲方所在地的最新环保标准，否则按违约处理。</w:t>
      </w: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六、培训与售后服务</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1.乙方负责免费对甲方技师的技术培训，并能使甲方技师达到独立操作及维护保养能力的水平，甲方指定机械、电气技师的具体人员，参与设备安装、调试的过程；</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2.保固期为设备验收合格后的12个月（以甲方出具的验收单为准）；</w:t>
      </w:r>
    </w:p>
    <w:p>
      <w:pPr>
        <w:adjustRightInd w:val="0"/>
        <w:snapToGrid w:val="0"/>
        <w:spacing w:line="360" w:lineRule="auto"/>
        <w:ind w:firstLine="560" w:firstLineChars="200"/>
        <w:rPr>
          <w:rFonts w:ascii="仿宋" w:hAnsi="仿宋" w:eastAsia="仿宋" w:cs="仿宋"/>
          <w:b/>
          <w:bCs/>
          <w:sz w:val="28"/>
          <w:szCs w:val="28"/>
        </w:rPr>
      </w:pPr>
      <w:r>
        <w:rPr>
          <w:rFonts w:hint="eastAsia" w:ascii="仿宋" w:hAnsi="仿宋" w:eastAsia="仿宋" w:cs="仿宋"/>
          <w:sz w:val="28"/>
          <w:szCs w:val="28"/>
        </w:rPr>
        <w:t>3.在保固期内，如设备出现质量问题，乙方接到甲方通知后2小时之内响应，24小时之内到甲方工厂免费修理或替换该缺陷部品或设备（易损件和因甲方原因造成的损坏除外）。若乙方不能于24小时之内进行修理或替换，则甲方自行或由第三方排除故障，其费用和责任由乙方负责。因质量问题造成甲方的损失由乙方负责，并从质保金中扣抵，不足部分乙方仍需赔偿。</w:t>
      </w: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七、安全事项</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乙方在设备安装调试过程中，应遵循国家有关规定和甲方安全规章制度，服从甲方管理，并签订《安全施工协议》，若由于乙方责任造成人身伤害或财产损失，全部由乙方自行承担，并赔偿由此给甲方造成的全部损失，且甲方有权从货款中直接扣除，不足部分乙方仍需赔偿。</w:t>
      </w: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八、违约责任</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1.非甲方原因，乙方未按约定时间完成设备交付、安装调试，每迟延一天向甲方支付合同总金额千分之五的违约金，甲方有权直接解除合同而无需承担任何责任；</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乙方未按合同约定履行义务或设备未达到合同要求，除其他条款已有约定外，还应按合同总值的20%向甲方支付违约金，乙方需赔偿由此给甲方造成的直接损失，甲方有权自应付款中直接扣除，不足部分乙方仍需赔偿，甲方有权直接解除合同，且无需承担任何责任，乙方须返还甲方前期支付的所有费用。</w:t>
      </w: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九、不可抗力</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任何一方由于不可抗力不能全部或部分履行本合同义务时，应及时采取合理措施避免损失的进一步扩大并以传真、电话等最快方式通知另一方，经合同另一方认可后，发生不可抗力的一方可全部或部分免除因该不可抗力导致的合同迟延或不能全部或部分履行的责任。双方在不可抗力事故停止后或影响消除后立即继续履行合同义务，合同条件相应延伸，如果不可抗力事故持续九十天以上时，任何一方有权书面通知对方终止本合同。</w:t>
      </w: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十、知识产权</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1.乙方保证：设备不存在任何知识产权、所有权权利瑕疵，该设备及设备的销售不存在知识产权、所有权侵权行为。</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2.侵权保证：当出现乙方设备及设备销售知识产权侵权情形（包括因甲方使用该设备而构成对他人知识产权侵犯为由被提起诉讼、仲裁或其它赔偿请求时），乙方应承担全部赔偿责任。</w:t>
      </w: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十一、争议解决条款</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本合同履约地：山东省招远市</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履行本合同的过程中如发生争议，双方应通过友好协商解决；协商不成，由合同履约地人民法院裁决。</w:t>
      </w: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十二、 反贿赂</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乙方承诺坚决杜绝向甲方业务人员及亲属赠送财物的贿赂行为，若有此行为，乙方</w:t>
      </w:r>
      <w:r>
        <w:rPr>
          <w:rFonts w:hint="eastAsia" w:ascii="仿宋" w:hAnsi="仿宋" w:eastAsia="仿宋" w:cs="仿宋"/>
          <w:color w:val="000000"/>
          <w:sz w:val="28"/>
          <w:szCs w:val="28"/>
        </w:rPr>
        <w:t>同意按合同总额的50%</w:t>
      </w:r>
      <w:r>
        <w:rPr>
          <w:rFonts w:hint="eastAsia" w:ascii="仿宋" w:hAnsi="仿宋" w:eastAsia="仿宋" w:cs="仿宋"/>
          <w:sz w:val="28"/>
          <w:szCs w:val="28"/>
        </w:rPr>
        <w:t>，向甲方支付违约金并赔偿甲方损失，甲方有权从货款中直接扣除、解除合同并取消供货商资格。</w:t>
      </w:r>
    </w:p>
    <w:p>
      <w:pPr>
        <w:numPr>
          <w:ilvl w:val="0"/>
          <w:numId w:val="4"/>
        </w:num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保密</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任何一方不得向第三方透露因签订本合同获得和知晓的对方的商业秘密。商业秘密包括双方洽谈的情况、签署的任何文件，包括合同、协议等文件中所包含的一切信息、客户名单、采购数据、定价政策、财务资料、进货管道等。</w:t>
      </w: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十四、其它</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1.本合同一式3份，甲方2份，乙方1份，自双方签字盖章之日起生效；</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2.所有附件均须双方签字盖章，为本合同不可分割的一部分；</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3.任何对本合同的修改和/或补充，必须以书面形式经双方共同签字盖章后，方具有法律效力。</w:t>
      </w:r>
    </w:p>
    <w:p>
      <w:pPr>
        <w:spacing w:line="360" w:lineRule="auto"/>
        <w:rPr>
          <w:rFonts w:ascii="仿宋" w:hAnsi="仿宋" w:eastAsia="仿宋" w:cs="仿宋"/>
          <w:sz w:val="28"/>
          <w:szCs w:val="28"/>
        </w:rPr>
      </w:pPr>
      <w:r>
        <w:rPr>
          <w:rFonts w:hint="eastAsia" w:ascii="仿宋" w:hAnsi="仿宋" w:eastAsia="仿宋" w:cs="仿宋"/>
          <w:sz w:val="28"/>
          <w:szCs w:val="28"/>
        </w:rPr>
        <w:t>甲方：山东金宝电子有限公司（章） 乙方：XX</w:t>
      </w:r>
      <w:r>
        <w:rPr>
          <w:rFonts w:hint="eastAsia" w:ascii="仿宋" w:hAnsi="仿宋" w:eastAsia="仿宋" w:cs="仿宋"/>
          <w:sz w:val="28"/>
          <w:szCs w:val="28"/>
        </w:rPr>
        <w:br w:type="textWrapping"/>
      </w:r>
      <w:r>
        <w:rPr>
          <w:rFonts w:hint="eastAsia" w:ascii="仿宋" w:hAnsi="仿宋" w:eastAsia="仿宋" w:cs="仿宋"/>
          <w:sz w:val="28"/>
          <w:szCs w:val="28"/>
        </w:rPr>
        <w:t>单位地址：招远市国大路268号      单位地址：XX</w:t>
      </w:r>
      <w:r>
        <w:rPr>
          <w:rFonts w:hint="eastAsia" w:ascii="仿宋" w:hAnsi="仿宋" w:eastAsia="仿宋" w:cs="仿宋"/>
          <w:sz w:val="28"/>
          <w:szCs w:val="28"/>
        </w:rPr>
        <w:br w:type="textWrapping"/>
      </w:r>
      <w:r>
        <w:rPr>
          <w:rFonts w:hint="eastAsia" w:ascii="仿宋" w:hAnsi="仿宋" w:eastAsia="仿宋" w:cs="仿宋"/>
          <w:sz w:val="28"/>
          <w:szCs w:val="28"/>
        </w:rPr>
        <w:t>委托代理人签字：                 委托代理人签字：</w:t>
      </w:r>
    </w:p>
    <w:p>
      <w:pPr>
        <w:spacing w:line="360" w:lineRule="auto"/>
        <w:rPr>
          <w:rFonts w:ascii="仿宋" w:hAnsi="仿宋" w:eastAsia="仿宋" w:cs="仿宋"/>
          <w:sz w:val="28"/>
          <w:szCs w:val="28"/>
        </w:rPr>
      </w:pPr>
      <w:r>
        <w:rPr>
          <w:rFonts w:hint="eastAsia" w:ascii="仿宋" w:hAnsi="仿宋" w:eastAsia="仿宋" w:cs="仿宋"/>
          <w:sz w:val="28"/>
          <w:szCs w:val="28"/>
        </w:rPr>
        <w:t>签字日期：                       签字日期：</w:t>
      </w:r>
    </w:p>
    <w:p>
      <w:pPr>
        <w:spacing w:line="360" w:lineRule="auto"/>
        <w:rPr>
          <w:rFonts w:ascii="仿宋" w:hAnsi="仿宋" w:eastAsia="仿宋" w:cs="仿宋"/>
          <w:sz w:val="28"/>
          <w:szCs w:val="28"/>
        </w:rPr>
      </w:pPr>
      <w:r>
        <w:rPr>
          <w:rFonts w:hint="eastAsia" w:ascii="仿宋" w:hAnsi="仿宋" w:eastAsia="仿宋" w:cs="仿宋"/>
          <w:sz w:val="28"/>
          <w:szCs w:val="28"/>
        </w:rPr>
        <w:t>电 话：                           电 话：</w:t>
      </w:r>
      <w:r>
        <w:rPr>
          <w:rFonts w:hint="eastAsia" w:ascii="仿宋" w:hAnsi="仿宋" w:eastAsia="仿宋" w:cs="仿宋"/>
          <w:sz w:val="28"/>
          <w:szCs w:val="28"/>
        </w:rPr>
        <w:br w:type="textWrapping"/>
      </w:r>
      <w:r>
        <w:rPr>
          <w:rFonts w:hint="eastAsia" w:ascii="仿宋" w:hAnsi="仿宋" w:eastAsia="仿宋" w:cs="仿宋"/>
          <w:sz w:val="28"/>
          <w:szCs w:val="28"/>
        </w:rPr>
        <w:t>开户银行：工商银行招远支行       开户银行：</w:t>
      </w:r>
    </w:p>
    <w:p>
      <w:pPr>
        <w:spacing w:line="360" w:lineRule="auto"/>
        <w:rPr>
          <w:rFonts w:ascii="仿宋" w:hAnsi="仿宋" w:eastAsia="仿宋" w:cs="仿宋"/>
          <w:sz w:val="28"/>
          <w:szCs w:val="28"/>
        </w:rPr>
      </w:pPr>
      <w:r>
        <w:rPr>
          <w:rFonts w:hint="eastAsia" w:ascii="仿宋" w:hAnsi="仿宋" w:eastAsia="仿宋" w:cs="仿宋"/>
          <w:sz w:val="28"/>
          <w:szCs w:val="28"/>
        </w:rPr>
        <w:t>账 号：1606 0217 0902 4200 204    账 号：</w:t>
      </w:r>
    </w:p>
    <w:p>
      <w:pPr>
        <w:spacing w:line="360" w:lineRule="auto"/>
        <w:rPr>
          <w:rFonts w:ascii="仿宋" w:hAnsi="仿宋" w:eastAsia="仿宋" w:cs="仿宋"/>
          <w:sz w:val="28"/>
          <w:szCs w:val="28"/>
        </w:rPr>
      </w:pPr>
      <w:r>
        <w:rPr>
          <w:rFonts w:hint="eastAsia" w:ascii="仿宋" w:hAnsi="仿宋" w:eastAsia="仿宋" w:cs="仿宋"/>
          <w:sz w:val="28"/>
          <w:szCs w:val="28"/>
        </w:rPr>
        <w:t>税 号：9137 0000 6134 2205 47     税 号：</w:t>
      </w:r>
    </w:p>
    <w:p>
      <w:pPr>
        <w:pStyle w:val="13"/>
        <w:ind w:firstLine="0" w:firstLineChars="0"/>
      </w:pPr>
    </w:p>
    <w:p>
      <w:pPr>
        <w:pStyle w:val="8"/>
      </w:pPr>
    </w:p>
    <w:p>
      <w:pPr>
        <w:adjustRightInd w:val="0"/>
        <w:snapToGrid w:val="0"/>
        <w:spacing w:line="360" w:lineRule="auto"/>
        <w:ind w:firstLine="560" w:firstLineChars="200"/>
        <w:rPr>
          <w:rFonts w:ascii="仿宋" w:hAnsi="仿宋" w:eastAsia="仿宋" w:cs="仿宋"/>
          <w:sz w:val="28"/>
          <w:szCs w:val="28"/>
        </w:rPr>
      </w:pPr>
    </w:p>
    <w:p>
      <w:pPr>
        <w:adjustRightInd w:val="0"/>
        <w:snapToGrid w:val="0"/>
        <w:spacing w:line="360" w:lineRule="auto"/>
        <w:rPr>
          <w:szCs w:val="21"/>
        </w:rPr>
      </w:pPr>
    </w:p>
    <w:p>
      <w:pPr>
        <w:pStyle w:val="13"/>
        <w:ind w:firstLine="240"/>
        <w:rPr>
          <w:szCs w:val="21"/>
        </w:rPr>
      </w:pPr>
    </w:p>
    <w:p>
      <w:pPr>
        <w:pStyle w:val="13"/>
        <w:ind w:firstLine="0" w:firstLineChars="0"/>
        <w:rPr>
          <w:szCs w:val="21"/>
        </w:rPr>
      </w:pPr>
    </w:p>
    <w:p>
      <w:pPr>
        <w:pStyle w:val="13"/>
        <w:ind w:firstLine="321"/>
        <w:jc w:val="center"/>
        <w:rPr>
          <w:b/>
          <w:bCs/>
          <w:sz w:val="32"/>
          <w:szCs w:val="32"/>
        </w:rPr>
      </w:pPr>
      <w:r>
        <w:rPr>
          <w:rFonts w:hint="eastAsia"/>
          <w:b/>
          <w:bCs/>
          <w:sz w:val="32"/>
          <w:szCs w:val="32"/>
        </w:rPr>
        <w:t>技术附件</w:t>
      </w:r>
    </w:p>
    <w:p>
      <w:pPr>
        <w:pStyle w:val="13"/>
        <w:numPr>
          <w:ilvl w:val="0"/>
          <w:numId w:val="5"/>
        </w:numPr>
        <w:ind w:firstLine="0" w:firstLineChars="0"/>
        <w:rPr>
          <w:rFonts w:ascii="仿宋" w:hAnsi="仿宋" w:eastAsia="仿宋" w:cs="仿宋"/>
          <w:b/>
          <w:bCs/>
          <w:sz w:val="28"/>
          <w:szCs w:val="28"/>
        </w:rPr>
      </w:pPr>
      <w:r>
        <w:rPr>
          <w:rFonts w:hint="eastAsia" w:ascii="仿宋" w:hAnsi="仿宋" w:eastAsia="仿宋" w:cs="仿宋"/>
          <w:b/>
          <w:bCs/>
          <w:sz w:val="28"/>
          <w:szCs w:val="28"/>
        </w:rPr>
        <w:t>技术要求</w:t>
      </w:r>
    </w:p>
    <w:p>
      <w:pPr>
        <w:pStyle w:val="13"/>
        <w:numPr>
          <w:ilvl w:val="0"/>
          <w:numId w:val="5"/>
        </w:numPr>
        <w:ind w:firstLine="0" w:firstLineChars="0"/>
        <w:rPr>
          <w:rFonts w:ascii="仿宋" w:hAnsi="仿宋" w:eastAsia="仿宋" w:cs="仿宋"/>
          <w:b/>
          <w:bCs/>
          <w:sz w:val="28"/>
          <w:szCs w:val="28"/>
        </w:rPr>
      </w:pPr>
      <w:r>
        <w:rPr>
          <w:rFonts w:hint="eastAsia" w:ascii="仿宋" w:hAnsi="仿宋" w:eastAsia="仿宋" w:cs="仿宋"/>
          <w:b/>
          <w:bCs/>
          <w:sz w:val="28"/>
          <w:szCs w:val="28"/>
        </w:rPr>
        <w:t>设备或布置图纸（若有）</w:t>
      </w:r>
    </w:p>
    <w:p>
      <w:pPr>
        <w:pStyle w:val="13"/>
        <w:numPr>
          <w:ilvl w:val="0"/>
          <w:numId w:val="5"/>
        </w:numPr>
        <w:ind w:firstLine="0" w:firstLineChars="0"/>
        <w:rPr>
          <w:rFonts w:ascii="仿宋" w:hAnsi="仿宋" w:eastAsia="仿宋" w:cs="仿宋"/>
          <w:b/>
          <w:bCs/>
          <w:sz w:val="28"/>
          <w:szCs w:val="28"/>
        </w:rPr>
      </w:pPr>
      <w:r>
        <w:rPr>
          <w:rFonts w:hint="eastAsia" w:ascii="仿宋" w:hAnsi="仿宋" w:eastAsia="仿宋" w:cs="仿宋"/>
          <w:b/>
          <w:bCs/>
          <w:sz w:val="28"/>
          <w:szCs w:val="28"/>
        </w:rPr>
        <w:t>以下空白</w:t>
      </w:r>
    </w:p>
    <w:p>
      <w:pPr>
        <w:pStyle w:val="13"/>
        <w:ind w:firstLine="0" w:firstLineChars="0"/>
        <w:rPr>
          <w:rFonts w:ascii="仿宋" w:hAnsi="仿宋" w:eastAsia="仿宋" w:cs="仿宋"/>
          <w:b/>
          <w:bCs/>
          <w:sz w:val="28"/>
          <w:szCs w:val="28"/>
        </w:rPr>
      </w:pPr>
    </w:p>
    <w:p>
      <w:pPr>
        <w:pStyle w:val="13"/>
        <w:ind w:firstLine="0" w:firstLineChars="0"/>
        <w:rPr>
          <w:rFonts w:ascii="仿宋" w:hAnsi="仿宋" w:eastAsia="仿宋" w:cs="仿宋"/>
          <w:b/>
          <w:bCs/>
          <w:sz w:val="28"/>
          <w:szCs w:val="28"/>
        </w:rPr>
      </w:pPr>
    </w:p>
    <w:p>
      <w:pPr>
        <w:pStyle w:val="13"/>
        <w:ind w:firstLine="0" w:firstLineChars="0"/>
        <w:rPr>
          <w:rFonts w:ascii="仿宋" w:hAnsi="仿宋" w:eastAsia="仿宋" w:cs="仿宋"/>
          <w:b/>
          <w:bCs/>
          <w:sz w:val="28"/>
          <w:szCs w:val="28"/>
        </w:rPr>
      </w:pPr>
      <w:r>
        <w:rPr>
          <w:rFonts w:hint="eastAsia" w:ascii="仿宋" w:hAnsi="仿宋" w:eastAsia="仿宋" w:cs="仿宋"/>
          <w:b/>
          <w:bCs/>
          <w:sz w:val="28"/>
          <w:szCs w:val="28"/>
        </w:rPr>
        <w:t>甲方合同章                               乙方合同章</w:t>
      </w:r>
    </w:p>
    <w:p>
      <w:pPr>
        <w:pStyle w:val="13"/>
        <w:ind w:firstLine="0" w:firstLineChars="0"/>
        <w:rPr>
          <w:rFonts w:ascii="仿宋" w:hAnsi="仿宋" w:eastAsia="仿宋" w:cs="仿宋"/>
          <w:b/>
          <w:bCs/>
          <w:sz w:val="28"/>
          <w:szCs w:val="28"/>
        </w:rPr>
      </w:pPr>
    </w:p>
    <w:p>
      <w:pPr>
        <w:pStyle w:val="13"/>
        <w:ind w:firstLine="0" w:firstLineChars="0"/>
        <w:rPr>
          <w:rFonts w:ascii="仿宋" w:hAnsi="仿宋" w:eastAsia="仿宋" w:cs="仿宋"/>
          <w:b/>
          <w:bCs/>
          <w:sz w:val="28"/>
          <w:szCs w:val="28"/>
        </w:rPr>
      </w:pPr>
    </w:p>
    <w:sectPr>
      <w:footerReference r:id="rId3"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 w:name="DFKai-SB">
    <w:panose1 w:val="03000509000000000000"/>
    <w:charset w:val="88"/>
    <w:family w:val="script"/>
    <w:pitch w:val="default"/>
    <w:sig w:usb0="00000003" w:usb1="082E0000" w:usb2="00000016" w:usb3="00000000" w:csb0="00100001" w:csb1="00000000"/>
  </w:font>
  <w:font w:name="中楷體">
    <w:altName w:val="宋体"/>
    <w:panose1 w:val="00000000000000000000"/>
    <w:charset w:val="88"/>
    <w:family w:val="roman"/>
    <w:pitch w:val="default"/>
    <w:sig w:usb0="00000000" w:usb1="00000000" w:usb2="00000000" w:usb3="00000000" w:csb0="00040001" w:csb1="00000000"/>
  </w:font>
  <w:font w:name="PMingLiU">
    <w:panose1 w:val="02020500000000000000"/>
    <w:charset w:val="88"/>
    <w:family w:val="auto"/>
    <w:pitch w:val="default"/>
    <w:sig w:usb0="A00002FF" w:usb1="28CFFCFA" w:usb2="00000016" w:usb3="00000000" w:csb0="00100001" w:csb1="00000000"/>
  </w:font>
  <w:font w:name="富漢通標中楷">
    <w:altName w:val="宋体"/>
    <w:panose1 w:val="00000000000000000000"/>
    <w:charset w:val="88"/>
    <w:family w:val="modern"/>
    <w:pitch w:val="default"/>
    <w:sig w:usb0="00000000" w:usb1="00000000" w:usb2="00000010" w:usb3="00000000" w:csb0="00100000"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7F" w:usb3="00000000" w:csb0="003F01FF" w:csb1="00000000"/>
  </w:font>
  <w:font w:name="Tahoma">
    <w:panose1 w:val="020B0604030504040204"/>
    <w:charset w:val="00"/>
    <w:family w:val="swiss"/>
    <w:pitch w:val="default"/>
    <w:sig w:usb0="E1002EFF" w:usb1="C000605B" w:usb2="00000029" w:usb3="00000000" w:csb0="200101FF" w:csb1="20280000"/>
  </w:font>
  <w:font w:name="MingLiU">
    <w:panose1 w:val="02020509000000000000"/>
    <w:charset w:val="88"/>
    <w:family w:val="modern"/>
    <w:pitch w:val="default"/>
    <w:sig w:usb0="A00002FF" w:usb1="28CFFCFA" w:usb2="00000016" w:usb3="00000000" w:csb0="0010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rPr>
        <w:lang w:val="zh-CN"/>
      </w:rPr>
      <w:t>6</w:t>
    </w:r>
    <w:r>
      <w:fldChar w:fldCharType="end"/>
    </w:r>
  </w:p>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4898B1"/>
    <w:multiLevelType w:val="singleLevel"/>
    <w:tmpl w:val="AD4898B1"/>
    <w:lvl w:ilvl="0" w:tentative="0">
      <w:start w:val="4"/>
      <w:numFmt w:val="chineseCounting"/>
      <w:suff w:val="space"/>
      <w:lvlText w:val="第%1部分"/>
      <w:lvlJc w:val="left"/>
      <w:pPr>
        <w:ind w:left="420"/>
      </w:pPr>
      <w:rPr>
        <w:rFonts w:hint="eastAsia"/>
      </w:rPr>
    </w:lvl>
  </w:abstractNum>
  <w:abstractNum w:abstractNumId="1">
    <w:nsid w:val="0000000A"/>
    <w:multiLevelType w:val="multilevel"/>
    <w:tmpl w:val="0000000A"/>
    <w:lvl w:ilvl="0" w:tentative="0">
      <w:start w:val="1"/>
      <w:numFmt w:val="taiwaneseCountingThousand"/>
      <w:lvlText w:val="第%1章"/>
      <w:lvlJc w:val="left"/>
      <w:pPr>
        <w:tabs>
          <w:tab w:val="left" w:pos="1080"/>
        </w:tabs>
        <w:ind w:left="425" w:hanging="425"/>
      </w:pPr>
      <w:rPr>
        <w:rFonts w:hint="eastAsia" w:ascii="楷体_GB2312" w:eastAsia="楷体_GB2312"/>
        <w:b/>
        <w:i w:val="0"/>
        <w:sz w:val="32"/>
      </w:rPr>
    </w:lvl>
    <w:lvl w:ilvl="1" w:tentative="0">
      <w:start w:val="1"/>
      <w:numFmt w:val="taiwaneseCountingThousand"/>
      <w:lvlText w:val="第%2節"/>
      <w:lvlJc w:val="left"/>
      <w:pPr>
        <w:tabs>
          <w:tab w:val="left" w:pos="4080"/>
        </w:tabs>
        <w:ind w:left="3425" w:hanging="425"/>
      </w:pPr>
      <w:rPr>
        <w:rFonts w:hint="eastAsia" w:ascii="DFKai-SB" w:eastAsia="DFKai-SB"/>
        <w:b w:val="0"/>
        <w:i w:val="0"/>
        <w:sz w:val="32"/>
      </w:rPr>
    </w:lvl>
    <w:lvl w:ilvl="2" w:tentative="0">
      <w:start w:val="1"/>
      <w:numFmt w:val="taiwaneseCountingThousand"/>
      <w:pStyle w:val="2"/>
      <w:lvlText w:val="%3、"/>
      <w:lvlJc w:val="left"/>
      <w:pPr>
        <w:tabs>
          <w:tab w:val="left" w:pos="1275"/>
        </w:tabs>
        <w:ind w:left="1275" w:hanging="425"/>
      </w:pPr>
      <w:rPr>
        <w:rFonts w:hint="eastAsia" w:ascii="楷体_GB2312" w:eastAsia="楷体_GB2312"/>
        <w:b w:val="0"/>
        <w:i w:val="0"/>
        <w:sz w:val="28"/>
      </w:rPr>
    </w:lvl>
    <w:lvl w:ilvl="3" w:tentative="0">
      <w:start w:val="1"/>
      <w:numFmt w:val="decimal"/>
      <w:lvlText w:val="( %4 ) "/>
      <w:lvlJc w:val="left"/>
      <w:pPr>
        <w:tabs>
          <w:tab w:val="left" w:pos="1618"/>
        </w:tabs>
        <w:ind w:left="1618" w:hanging="538"/>
      </w:pPr>
      <w:rPr>
        <w:rFonts w:hint="default" w:ascii="Times New Roman" w:hAnsi="Times New Roman"/>
        <w:b w:val="0"/>
        <w:i/>
        <w:sz w:val="26"/>
      </w:rPr>
    </w:lvl>
    <w:lvl w:ilvl="4" w:tentative="0">
      <w:start w:val="1"/>
      <w:numFmt w:val="lowerLetter"/>
      <w:lvlText w:val="%5.)"/>
      <w:lvlJc w:val="left"/>
      <w:pPr>
        <w:tabs>
          <w:tab w:val="left" w:pos="2381"/>
        </w:tabs>
        <w:ind w:left="2381" w:hanging="680"/>
      </w:pPr>
      <w:rPr>
        <w:rFonts w:hint="default" w:ascii="Times New Roman" w:hAnsi="Times New Roman"/>
        <w:b w:val="0"/>
        <w:i/>
        <w:sz w:val="24"/>
      </w:rPr>
    </w:lvl>
    <w:lvl w:ilvl="5" w:tentative="0">
      <w:start w:val="3"/>
      <w:numFmt w:val="none"/>
      <w:lvlText w:val=""/>
      <w:lvlJc w:val="left"/>
      <w:pPr>
        <w:tabs>
          <w:tab w:val="left" w:pos="2551"/>
        </w:tabs>
        <w:ind w:left="2551" w:hanging="425"/>
      </w:pPr>
      <w:rPr>
        <w:rFonts w:hint="default" w:ascii="Wingdings" w:hAnsi="Wingdings"/>
        <w:b w:val="0"/>
        <w:i w:val="0"/>
        <w:sz w:val="24"/>
      </w:rPr>
    </w:lvl>
    <w:lvl w:ilvl="6" w:tentative="0">
      <w:start w:val="1"/>
      <w:numFmt w:val="lowerRoman"/>
      <w:lvlText w:val="%7)"/>
      <w:lvlJc w:val="left"/>
      <w:pPr>
        <w:tabs>
          <w:tab w:val="left" w:pos="3158"/>
        </w:tabs>
        <w:ind w:left="2552" w:hanging="114"/>
      </w:pPr>
      <w:rPr>
        <w:rFonts w:hint="default" w:ascii="Times New Roman" w:hAnsi="Times New Roman"/>
        <w:b w:val="0"/>
        <w:i/>
        <w:sz w:val="24"/>
        <w:u w:val="none"/>
      </w:rPr>
    </w:lvl>
    <w:lvl w:ilvl="7" w:tentative="0">
      <w:start w:val="1"/>
      <w:numFmt w:val="none"/>
      <w:suff w:val="nothing"/>
      <w:lvlText w:val=""/>
      <w:lvlJc w:val="left"/>
      <w:pPr>
        <w:ind w:left="3401" w:hanging="425"/>
      </w:pPr>
      <w:rPr>
        <w:rFonts w:hint="eastAsia" w:ascii="中楷體" w:eastAsia="PMingLiU"/>
        <w:b w:val="0"/>
        <w:i w:val="0"/>
        <w:sz w:val="24"/>
      </w:rPr>
    </w:lvl>
    <w:lvl w:ilvl="8" w:tentative="0">
      <w:start w:val="1"/>
      <w:numFmt w:val="none"/>
      <w:suff w:val="nothing"/>
      <w:lvlText w:val=""/>
      <w:lvlJc w:val="left"/>
      <w:pPr>
        <w:ind w:left="3826" w:hanging="425"/>
      </w:pPr>
      <w:rPr>
        <w:rFonts w:hint="eastAsia" w:ascii="中楷體" w:eastAsia="PMingLiU"/>
        <w:b w:val="0"/>
        <w:i w:val="0"/>
        <w:sz w:val="24"/>
      </w:rPr>
    </w:lvl>
  </w:abstractNum>
  <w:abstractNum w:abstractNumId="2">
    <w:nsid w:val="0CB2AABC"/>
    <w:multiLevelType w:val="singleLevel"/>
    <w:tmpl w:val="0CB2AABC"/>
    <w:lvl w:ilvl="0" w:tentative="0">
      <w:start w:val="1"/>
      <w:numFmt w:val="decimal"/>
      <w:lvlText w:val="%1."/>
      <w:lvlJc w:val="left"/>
      <w:pPr>
        <w:tabs>
          <w:tab w:val="left" w:pos="312"/>
        </w:tabs>
      </w:pPr>
    </w:lvl>
  </w:abstractNum>
  <w:abstractNum w:abstractNumId="3">
    <w:nsid w:val="39F847BF"/>
    <w:multiLevelType w:val="singleLevel"/>
    <w:tmpl w:val="39F847BF"/>
    <w:lvl w:ilvl="0" w:tentative="0">
      <w:start w:val="13"/>
      <w:numFmt w:val="chineseCounting"/>
      <w:suff w:val="nothing"/>
      <w:lvlText w:val="%1、"/>
      <w:lvlJc w:val="left"/>
      <w:rPr>
        <w:rFonts w:hint="eastAsia"/>
      </w:rPr>
    </w:lvl>
  </w:abstractNum>
  <w:abstractNum w:abstractNumId="4">
    <w:nsid w:val="58026870"/>
    <w:multiLevelType w:val="singleLevel"/>
    <w:tmpl w:val="58026870"/>
    <w:lvl w:ilvl="0" w:tentative="0">
      <w:start w:val="1"/>
      <w:numFmt w:val="chineseCounting"/>
      <w:suff w:val="nothing"/>
      <w:lvlText w:val="%1、"/>
      <w:lvlJc w:val="left"/>
      <w:pPr>
        <w:ind w:left="68"/>
      </w:pPr>
      <w:rPr>
        <w:rFonts w:hint="eastAsia"/>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1NTQ1MjI2ZjFiOTc0MWZkMmM0Yjk2MGI5NDNiZjEifQ=="/>
  </w:docVars>
  <w:rsids>
    <w:rsidRoot w:val="14D70820"/>
    <w:rsid w:val="000140A9"/>
    <w:rsid w:val="0002639C"/>
    <w:rsid w:val="00036F46"/>
    <w:rsid w:val="000A04FB"/>
    <w:rsid w:val="000B46A5"/>
    <w:rsid w:val="000E1E8C"/>
    <w:rsid w:val="000F2FB0"/>
    <w:rsid w:val="001123F1"/>
    <w:rsid w:val="001217FC"/>
    <w:rsid w:val="0013572F"/>
    <w:rsid w:val="00153B2F"/>
    <w:rsid w:val="00165DD6"/>
    <w:rsid w:val="00171663"/>
    <w:rsid w:val="001815FF"/>
    <w:rsid w:val="001D0E12"/>
    <w:rsid w:val="00234FE5"/>
    <w:rsid w:val="00242018"/>
    <w:rsid w:val="002427B8"/>
    <w:rsid w:val="002D4611"/>
    <w:rsid w:val="002F2886"/>
    <w:rsid w:val="0031742A"/>
    <w:rsid w:val="00385165"/>
    <w:rsid w:val="00391C5D"/>
    <w:rsid w:val="00434F86"/>
    <w:rsid w:val="00447816"/>
    <w:rsid w:val="004701DC"/>
    <w:rsid w:val="00483D29"/>
    <w:rsid w:val="0048716E"/>
    <w:rsid w:val="00496BF6"/>
    <w:rsid w:val="004C1FC6"/>
    <w:rsid w:val="004C454A"/>
    <w:rsid w:val="004F2EB8"/>
    <w:rsid w:val="00521AEB"/>
    <w:rsid w:val="0054194C"/>
    <w:rsid w:val="00543389"/>
    <w:rsid w:val="00544194"/>
    <w:rsid w:val="00551890"/>
    <w:rsid w:val="0056641B"/>
    <w:rsid w:val="005B5E50"/>
    <w:rsid w:val="005D1CFE"/>
    <w:rsid w:val="005E6299"/>
    <w:rsid w:val="005E6B4B"/>
    <w:rsid w:val="005F63CB"/>
    <w:rsid w:val="00670B15"/>
    <w:rsid w:val="006A6992"/>
    <w:rsid w:val="006D6272"/>
    <w:rsid w:val="007106C3"/>
    <w:rsid w:val="00737F44"/>
    <w:rsid w:val="00746246"/>
    <w:rsid w:val="007576FD"/>
    <w:rsid w:val="00795268"/>
    <w:rsid w:val="007A16DB"/>
    <w:rsid w:val="007C5761"/>
    <w:rsid w:val="007D3360"/>
    <w:rsid w:val="007E7E97"/>
    <w:rsid w:val="00810526"/>
    <w:rsid w:val="0081621E"/>
    <w:rsid w:val="008269DC"/>
    <w:rsid w:val="00850D25"/>
    <w:rsid w:val="00877824"/>
    <w:rsid w:val="00894F8F"/>
    <w:rsid w:val="008B3612"/>
    <w:rsid w:val="0090361E"/>
    <w:rsid w:val="00905EC2"/>
    <w:rsid w:val="00912E27"/>
    <w:rsid w:val="00922039"/>
    <w:rsid w:val="00924D21"/>
    <w:rsid w:val="00944C5C"/>
    <w:rsid w:val="0095248A"/>
    <w:rsid w:val="00963A40"/>
    <w:rsid w:val="009650B7"/>
    <w:rsid w:val="0096714F"/>
    <w:rsid w:val="00972BC5"/>
    <w:rsid w:val="009B6753"/>
    <w:rsid w:val="009C5307"/>
    <w:rsid w:val="009C6F1B"/>
    <w:rsid w:val="009D5B70"/>
    <w:rsid w:val="009E1A4D"/>
    <w:rsid w:val="00A31994"/>
    <w:rsid w:val="00A37EC4"/>
    <w:rsid w:val="00A6047A"/>
    <w:rsid w:val="00A640F3"/>
    <w:rsid w:val="00A80FD0"/>
    <w:rsid w:val="00AD7E89"/>
    <w:rsid w:val="00B02199"/>
    <w:rsid w:val="00B02A04"/>
    <w:rsid w:val="00B142FC"/>
    <w:rsid w:val="00B357E0"/>
    <w:rsid w:val="00B37251"/>
    <w:rsid w:val="00B637ED"/>
    <w:rsid w:val="00B75E47"/>
    <w:rsid w:val="00B858A1"/>
    <w:rsid w:val="00BC3855"/>
    <w:rsid w:val="00BE2C08"/>
    <w:rsid w:val="00C327A2"/>
    <w:rsid w:val="00C354EF"/>
    <w:rsid w:val="00C756C1"/>
    <w:rsid w:val="00CA062E"/>
    <w:rsid w:val="00D32089"/>
    <w:rsid w:val="00D3366E"/>
    <w:rsid w:val="00D813B1"/>
    <w:rsid w:val="00D863A5"/>
    <w:rsid w:val="00D96332"/>
    <w:rsid w:val="00DC5C24"/>
    <w:rsid w:val="00DC7629"/>
    <w:rsid w:val="00DE0206"/>
    <w:rsid w:val="00DE7334"/>
    <w:rsid w:val="00DF7BE7"/>
    <w:rsid w:val="00E108FE"/>
    <w:rsid w:val="00E15EAC"/>
    <w:rsid w:val="00E225CA"/>
    <w:rsid w:val="00E227AF"/>
    <w:rsid w:val="00E42BF4"/>
    <w:rsid w:val="00E602BD"/>
    <w:rsid w:val="00E80FFB"/>
    <w:rsid w:val="00F04AE1"/>
    <w:rsid w:val="00F1223D"/>
    <w:rsid w:val="00F20309"/>
    <w:rsid w:val="00F33E6B"/>
    <w:rsid w:val="00F82C9E"/>
    <w:rsid w:val="00F9392B"/>
    <w:rsid w:val="00F94F76"/>
    <w:rsid w:val="00FB7FD4"/>
    <w:rsid w:val="00FD03BA"/>
    <w:rsid w:val="00FF037C"/>
    <w:rsid w:val="00FF5E3A"/>
    <w:rsid w:val="016C7AD7"/>
    <w:rsid w:val="02ED32E2"/>
    <w:rsid w:val="035169D7"/>
    <w:rsid w:val="0381181E"/>
    <w:rsid w:val="03AE5119"/>
    <w:rsid w:val="045B6036"/>
    <w:rsid w:val="05026EBE"/>
    <w:rsid w:val="052F7BE9"/>
    <w:rsid w:val="05B67C66"/>
    <w:rsid w:val="06A271B1"/>
    <w:rsid w:val="07CD77B7"/>
    <w:rsid w:val="07E354E8"/>
    <w:rsid w:val="07F77C37"/>
    <w:rsid w:val="08AB272F"/>
    <w:rsid w:val="091A079C"/>
    <w:rsid w:val="098B184A"/>
    <w:rsid w:val="0AC26D44"/>
    <w:rsid w:val="0C6857F4"/>
    <w:rsid w:val="0CA41073"/>
    <w:rsid w:val="0CBD0BA0"/>
    <w:rsid w:val="0CE85744"/>
    <w:rsid w:val="0D577B1C"/>
    <w:rsid w:val="0DB77E27"/>
    <w:rsid w:val="0DDA5592"/>
    <w:rsid w:val="0DEA10C2"/>
    <w:rsid w:val="0F356183"/>
    <w:rsid w:val="0FB31F58"/>
    <w:rsid w:val="107E1436"/>
    <w:rsid w:val="107F16C6"/>
    <w:rsid w:val="12632784"/>
    <w:rsid w:val="1326147D"/>
    <w:rsid w:val="13954AF2"/>
    <w:rsid w:val="14084486"/>
    <w:rsid w:val="14AA2FA2"/>
    <w:rsid w:val="14D70820"/>
    <w:rsid w:val="154C171A"/>
    <w:rsid w:val="16573CF5"/>
    <w:rsid w:val="17276652"/>
    <w:rsid w:val="172F699C"/>
    <w:rsid w:val="176E28B1"/>
    <w:rsid w:val="1848257D"/>
    <w:rsid w:val="18AB3EEC"/>
    <w:rsid w:val="1932761B"/>
    <w:rsid w:val="193E4100"/>
    <w:rsid w:val="194F374C"/>
    <w:rsid w:val="199D333E"/>
    <w:rsid w:val="1A120CF6"/>
    <w:rsid w:val="1BB6429E"/>
    <w:rsid w:val="1C2D4B10"/>
    <w:rsid w:val="1C9758C0"/>
    <w:rsid w:val="1E0848A5"/>
    <w:rsid w:val="1E120CC9"/>
    <w:rsid w:val="1E3F18D8"/>
    <w:rsid w:val="1EC55806"/>
    <w:rsid w:val="1F006AA1"/>
    <w:rsid w:val="1F456344"/>
    <w:rsid w:val="1F49252D"/>
    <w:rsid w:val="1FBA1230"/>
    <w:rsid w:val="1FD2678C"/>
    <w:rsid w:val="2086686B"/>
    <w:rsid w:val="215C431F"/>
    <w:rsid w:val="219A24C7"/>
    <w:rsid w:val="22BB5C03"/>
    <w:rsid w:val="233D6EE4"/>
    <w:rsid w:val="23557DEB"/>
    <w:rsid w:val="24231D8E"/>
    <w:rsid w:val="247023DC"/>
    <w:rsid w:val="25915A0E"/>
    <w:rsid w:val="261A4D4C"/>
    <w:rsid w:val="27C33CA0"/>
    <w:rsid w:val="27DB4C84"/>
    <w:rsid w:val="29784C0C"/>
    <w:rsid w:val="29BD0CB1"/>
    <w:rsid w:val="2A5B1200"/>
    <w:rsid w:val="2A6A5A19"/>
    <w:rsid w:val="2A8B0391"/>
    <w:rsid w:val="2A90520C"/>
    <w:rsid w:val="2AF94DA4"/>
    <w:rsid w:val="2B5108D7"/>
    <w:rsid w:val="2B7C2FDF"/>
    <w:rsid w:val="2BE66046"/>
    <w:rsid w:val="2D610DD5"/>
    <w:rsid w:val="2E2711A0"/>
    <w:rsid w:val="2E5D170F"/>
    <w:rsid w:val="2E7F6FA9"/>
    <w:rsid w:val="2F432A68"/>
    <w:rsid w:val="2F5B2D15"/>
    <w:rsid w:val="2FE4516D"/>
    <w:rsid w:val="2FFF30A4"/>
    <w:rsid w:val="310D6EE4"/>
    <w:rsid w:val="315F5763"/>
    <w:rsid w:val="31B30842"/>
    <w:rsid w:val="32002AA0"/>
    <w:rsid w:val="3202624E"/>
    <w:rsid w:val="331B05DA"/>
    <w:rsid w:val="335F0CF5"/>
    <w:rsid w:val="337046B7"/>
    <w:rsid w:val="34377F50"/>
    <w:rsid w:val="38126077"/>
    <w:rsid w:val="39B572D8"/>
    <w:rsid w:val="3BA34B58"/>
    <w:rsid w:val="3BD16972"/>
    <w:rsid w:val="3DBC1C61"/>
    <w:rsid w:val="3E244A6F"/>
    <w:rsid w:val="3E25152A"/>
    <w:rsid w:val="3EB55BB3"/>
    <w:rsid w:val="3EBD4BC5"/>
    <w:rsid w:val="3F063761"/>
    <w:rsid w:val="3F437C92"/>
    <w:rsid w:val="3FFA719D"/>
    <w:rsid w:val="3FFD27E9"/>
    <w:rsid w:val="406C535E"/>
    <w:rsid w:val="41927AA1"/>
    <w:rsid w:val="42C8625A"/>
    <w:rsid w:val="43935301"/>
    <w:rsid w:val="45011451"/>
    <w:rsid w:val="45265C8A"/>
    <w:rsid w:val="452830CA"/>
    <w:rsid w:val="45963D09"/>
    <w:rsid w:val="464B432A"/>
    <w:rsid w:val="47A535C3"/>
    <w:rsid w:val="47D878DE"/>
    <w:rsid w:val="48074EF1"/>
    <w:rsid w:val="49586F36"/>
    <w:rsid w:val="4AB16BFA"/>
    <w:rsid w:val="4AC23C30"/>
    <w:rsid w:val="4AE253FD"/>
    <w:rsid w:val="4B7F7BEF"/>
    <w:rsid w:val="4BC36D1C"/>
    <w:rsid w:val="4C887C58"/>
    <w:rsid w:val="4CA95EBA"/>
    <w:rsid w:val="4DFC6236"/>
    <w:rsid w:val="4E7F1644"/>
    <w:rsid w:val="4F6022C6"/>
    <w:rsid w:val="50E157AF"/>
    <w:rsid w:val="51AD6F01"/>
    <w:rsid w:val="522608A4"/>
    <w:rsid w:val="52D954E2"/>
    <w:rsid w:val="538B5D6C"/>
    <w:rsid w:val="546759DA"/>
    <w:rsid w:val="547C4E2A"/>
    <w:rsid w:val="54C67B58"/>
    <w:rsid w:val="558F6036"/>
    <w:rsid w:val="56087CD9"/>
    <w:rsid w:val="56CC1731"/>
    <w:rsid w:val="585F27E8"/>
    <w:rsid w:val="59014C9E"/>
    <w:rsid w:val="59E317AE"/>
    <w:rsid w:val="59F20861"/>
    <w:rsid w:val="5A181637"/>
    <w:rsid w:val="5A3E0E24"/>
    <w:rsid w:val="5BA317CE"/>
    <w:rsid w:val="5C4857DD"/>
    <w:rsid w:val="5D054434"/>
    <w:rsid w:val="5EA87FAD"/>
    <w:rsid w:val="5EAD22CF"/>
    <w:rsid w:val="5F872449"/>
    <w:rsid w:val="614757BD"/>
    <w:rsid w:val="63121893"/>
    <w:rsid w:val="63522F48"/>
    <w:rsid w:val="636546D8"/>
    <w:rsid w:val="64AB558A"/>
    <w:rsid w:val="64CE605A"/>
    <w:rsid w:val="659C1481"/>
    <w:rsid w:val="664E4B8E"/>
    <w:rsid w:val="68AA6A1B"/>
    <w:rsid w:val="69F446D6"/>
    <w:rsid w:val="6C5B0004"/>
    <w:rsid w:val="6DC2661B"/>
    <w:rsid w:val="6DC63BDB"/>
    <w:rsid w:val="6ED001FE"/>
    <w:rsid w:val="6EEE42F9"/>
    <w:rsid w:val="6F2B14FF"/>
    <w:rsid w:val="70E1391E"/>
    <w:rsid w:val="712C5A62"/>
    <w:rsid w:val="721752BB"/>
    <w:rsid w:val="72CF25B1"/>
    <w:rsid w:val="7452317D"/>
    <w:rsid w:val="753D7DC7"/>
    <w:rsid w:val="75936E93"/>
    <w:rsid w:val="760A5128"/>
    <w:rsid w:val="76181B36"/>
    <w:rsid w:val="762844F9"/>
    <w:rsid w:val="764D340B"/>
    <w:rsid w:val="76717789"/>
    <w:rsid w:val="794E0520"/>
    <w:rsid w:val="79AF0BD5"/>
    <w:rsid w:val="7B0F54EB"/>
    <w:rsid w:val="7D0A386C"/>
    <w:rsid w:val="7D7D5940"/>
    <w:rsid w:val="7DD11D60"/>
    <w:rsid w:val="7E924DEC"/>
    <w:rsid w:val="7FD50C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autoRedefine/>
    <w:qFormat/>
    <w:uiPriority w:val="0"/>
    <w:pPr>
      <w:keepNext/>
      <w:numPr>
        <w:ilvl w:val="2"/>
        <w:numId w:val="1"/>
      </w:numPr>
      <w:tabs>
        <w:tab w:val="left" w:pos="1080"/>
        <w:tab w:val="left" w:pos="1440"/>
      </w:tabs>
      <w:adjustRightInd w:val="0"/>
      <w:spacing w:line="360" w:lineRule="exact"/>
      <w:jc w:val="left"/>
      <w:textAlignment w:val="baseline"/>
      <w:outlineLvl w:val="2"/>
    </w:pPr>
    <w:rPr>
      <w:rFonts w:eastAsia="富漢通標中楷"/>
      <w:kern w:val="0"/>
      <w:sz w:val="28"/>
      <w:szCs w:val="20"/>
      <w:lang w:eastAsia="zh-TW"/>
    </w:rPr>
  </w:style>
  <w:style w:type="paragraph" w:styleId="3">
    <w:name w:val="heading 4"/>
    <w:basedOn w:val="1"/>
    <w:next w:val="1"/>
    <w:qFormat/>
    <w:uiPriority w:val="1"/>
    <w:pPr>
      <w:spacing w:line="312" w:lineRule="exact"/>
      <w:ind w:left="840" w:hanging="720"/>
      <w:outlineLvl w:val="3"/>
    </w:pPr>
    <w:rPr>
      <w:b/>
      <w:bCs/>
      <w:sz w:val="2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unhideWhenUsed/>
    <w:qFormat/>
    <w:uiPriority w:val="0"/>
    <w:pPr>
      <w:jc w:val="left"/>
    </w:pPr>
  </w:style>
  <w:style w:type="paragraph" w:styleId="5">
    <w:name w:val="Body Text"/>
    <w:basedOn w:val="1"/>
    <w:qFormat/>
    <w:uiPriority w:val="0"/>
    <w:pPr>
      <w:spacing w:after="120"/>
    </w:pPr>
    <w:rPr>
      <w:szCs w:val="20"/>
    </w:rPr>
  </w:style>
  <w:style w:type="paragraph" w:styleId="6">
    <w:name w:val="Body Text Indent"/>
    <w:basedOn w:val="1"/>
    <w:next w:val="7"/>
    <w:qFormat/>
    <w:uiPriority w:val="0"/>
    <w:pPr>
      <w:autoSpaceDE w:val="0"/>
      <w:autoSpaceDN w:val="0"/>
      <w:adjustRightInd w:val="0"/>
      <w:spacing w:line="360" w:lineRule="auto"/>
      <w:ind w:firstLine="567"/>
      <w:textAlignment w:val="baseline"/>
    </w:pPr>
    <w:rPr>
      <w:rFonts w:ascii="仿宋_GB2312" w:eastAsia="仿宋_GB2312"/>
      <w:kern w:val="0"/>
      <w:sz w:val="32"/>
      <w:szCs w:val="32"/>
    </w:rPr>
  </w:style>
  <w:style w:type="paragraph" w:styleId="7">
    <w:name w:val="envelope return"/>
    <w:basedOn w:val="1"/>
    <w:autoRedefine/>
    <w:qFormat/>
    <w:uiPriority w:val="0"/>
    <w:pPr>
      <w:snapToGrid w:val="0"/>
    </w:pPr>
    <w:rPr>
      <w:rFonts w:ascii="Arial" w:hAnsi="Arial"/>
    </w:rPr>
  </w:style>
  <w:style w:type="paragraph" w:styleId="8">
    <w:name w:val="Plain Text"/>
    <w:basedOn w:val="1"/>
    <w:next w:val="1"/>
    <w:qFormat/>
    <w:uiPriority w:val="0"/>
    <w:rPr>
      <w:rFonts w:hAnsi="Courier New" w:cs="Courier New"/>
    </w:rPr>
  </w:style>
  <w:style w:type="paragraph" w:styleId="9">
    <w:name w:val="Balloon Text"/>
    <w:basedOn w:val="1"/>
    <w:link w:val="19"/>
    <w:qFormat/>
    <w:uiPriority w:val="0"/>
    <w:rPr>
      <w:sz w:val="18"/>
      <w:szCs w:val="18"/>
    </w:rPr>
  </w:style>
  <w:style w:type="paragraph" w:styleId="10">
    <w:name w:val="footer"/>
    <w:basedOn w:val="1"/>
    <w:link w:val="20"/>
    <w:qFormat/>
    <w:uiPriority w:val="99"/>
    <w:pPr>
      <w:tabs>
        <w:tab w:val="center" w:pos="4153"/>
        <w:tab w:val="right" w:pos="8306"/>
      </w:tabs>
      <w:snapToGrid w:val="0"/>
      <w:jc w:val="left"/>
    </w:pPr>
    <w:rPr>
      <w:sz w:val="18"/>
      <w:szCs w:val="18"/>
    </w:rPr>
  </w:style>
  <w:style w:type="paragraph" w:styleId="11">
    <w:name w:val="header"/>
    <w:basedOn w:val="1"/>
    <w:link w:val="21"/>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styleId="13">
    <w:name w:val="Body Text First Indent"/>
    <w:basedOn w:val="5"/>
    <w:qFormat/>
    <w:uiPriority w:val="0"/>
    <w:pPr>
      <w:topLinePunct/>
      <w:spacing w:line="360" w:lineRule="auto"/>
      <w:ind w:firstLine="420" w:firstLineChars="100"/>
    </w:pPr>
    <w:rPr>
      <w:kern w:val="0"/>
      <w:sz w:val="24"/>
    </w:rPr>
  </w:style>
  <w:style w:type="paragraph" w:styleId="14">
    <w:name w:val="Body Text First Indent 2"/>
    <w:basedOn w:val="6"/>
    <w:next w:val="1"/>
    <w:autoRedefine/>
    <w:qFormat/>
    <w:uiPriority w:val="0"/>
    <w:pPr>
      <w:tabs>
        <w:tab w:val="left" w:pos="930"/>
      </w:tabs>
      <w:ind w:firstLine="420" w:firstLineChars="200"/>
    </w:pPr>
    <w:rPr>
      <w:szCs w:val="24"/>
    </w:r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Hyperlink"/>
    <w:basedOn w:val="17"/>
    <w:semiHidden/>
    <w:unhideWhenUsed/>
    <w:uiPriority w:val="0"/>
    <w:rPr>
      <w:color w:val="0000FF"/>
      <w:u w:val="single"/>
    </w:rPr>
  </w:style>
  <w:style w:type="character" w:customStyle="1" w:styleId="19">
    <w:name w:val="批注框文本 Char"/>
    <w:basedOn w:val="17"/>
    <w:link w:val="9"/>
    <w:autoRedefine/>
    <w:qFormat/>
    <w:uiPriority w:val="0"/>
    <w:rPr>
      <w:rFonts w:eastAsia="宋体"/>
      <w:kern w:val="2"/>
      <w:sz w:val="18"/>
      <w:szCs w:val="18"/>
    </w:rPr>
  </w:style>
  <w:style w:type="character" w:customStyle="1" w:styleId="20">
    <w:name w:val="页脚 Char"/>
    <w:basedOn w:val="17"/>
    <w:link w:val="10"/>
    <w:autoRedefine/>
    <w:qFormat/>
    <w:uiPriority w:val="99"/>
    <w:rPr>
      <w:rFonts w:eastAsia="宋体"/>
      <w:kern w:val="2"/>
      <w:sz w:val="18"/>
      <w:szCs w:val="18"/>
    </w:rPr>
  </w:style>
  <w:style w:type="character" w:customStyle="1" w:styleId="21">
    <w:name w:val="页眉 Char"/>
    <w:basedOn w:val="17"/>
    <w:link w:val="11"/>
    <w:qFormat/>
    <w:uiPriority w:val="0"/>
    <w:rPr>
      <w:rFonts w:eastAsia="宋体"/>
      <w:kern w:val="2"/>
      <w:sz w:val="18"/>
      <w:szCs w:val="18"/>
    </w:rPr>
  </w:style>
  <w:style w:type="character" w:customStyle="1" w:styleId="22">
    <w:name w:val="font21"/>
    <w:basedOn w:val="17"/>
    <w:qFormat/>
    <w:uiPriority w:val="0"/>
    <w:rPr>
      <w:rFonts w:hint="eastAsia" w:ascii="宋体" w:hAnsi="宋体" w:eastAsia="宋体" w:cs="宋体"/>
      <w:color w:val="FF0000"/>
      <w:sz w:val="24"/>
      <w:szCs w:val="24"/>
      <w:u w:val="none"/>
    </w:rPr>
  </w:style>
  <w:style w:type="character" w:customStyle="1" w:styleId="23">
    <w:name w:val="font11"/>
    <w:basedOn w:val="17"/>
    <w:qFormat/>
    <w:uiPriority w:val="0"/>
    <w:rPr>
      <w:rFonts w:hint="default" w:ascii="Tahoma" w:hAnsi="Tahoma" w:eastAsia="Tahoma" w:cs="Tahoma"/>
      <w:color w:val="000000"/>
      <w:sz w:val="24"/>
      <w:szCs w:val="24"/>
      <w:u w:val="none"/>
    </w:rPr>
  </w:style>
  <w:style w:type="character" w:customStyle="1" w:styleId="24">
    <w:name w:val="font121"/>
    <w:basedOn w:val="17"/>
    <w:qFormat/>
    <w:uiPriority w:val="0"/>
    <w:rPr>
      <w:rFonts w:hint="eastAsia" w:ascii="宋体" w:hAnsi="宋体" w:eastAsia="宋体" w:cs="宋体"/>
      <w:color w:val="000000"/>
      <w:sz w:val="24"/>
      <w:szCs w:val="24"/>
      <w:u w:val="none"/>
    </w:rPr>
  </w:style>
  <w:style w:type="character" w:customStyle="1" w:styleId="25">
    <w:name w:val="font112"/>
    <w:basedOn w:val="17"/>
    <w:qFormat/>
    <w:uiPriority w:val="0"/>
    <w:rPr>
      <w:rFonts w:hint="eastAsia" w:ascii="宋体" w:hAnsi="宋体" w:eastAsia="宋体" w:cs="宋体"/>
      <w:color w:val="000000"/>
      <w:sz w:val="32"/>
      <w:szCs w:val="32"/>
      <w:u w:val="none"/>
    </w:rPr>
  </w:style>
  <w:style w:type="character" w:customStyle="1" w:styleId="26">
    <w:name w:val="font41"/>
    <w:basedOn w:val="17"/>
    <w:qFormat/>
    <w:uiPriority w:val="0"/>
    <w:rPr>
      <w:rFonts w:ascii="Tahoma" w:hAnsi="Tahoma" w:eastAsia="Tahoma" w:cs="Tahoma"/>
      <w:color w:val="000000"/>
      <w:sz w:val="32"/>
      <w:szCs w:val="32"/>
      <w:u w:val="none"/>
    </w:rPr>
  </w:style>
  <w:style w:type="character" w:customStyle="1" w:styleId="27">
    <w:name w:val="font111"/>
    <w:basedOn w:val="17"/>
    <w:qFormat/>
    <w:uiPriority w:val="0"/>
    <w:rPr>
      <w:rFonts w:hint="eastAsia" w:ascii="宋体" w:hAnsi="宋体" w:eastAsia="宋体" w:cs="宋体"/>
      <w:color w:val="000000"/>
      <w:sz w:val="32"/>
      <w:szCs w:val="32"/>
      <w:u w:val="none"/>
    </w:rPr>
  </w:style>
  <w:style w:type="character" w:customStyle="1" w:styleId="28">
    <w:name w:val="font81"/>
    <w:basedOn w:val="17"/>
    <w:qFormat/>
    <w:uiPriority w:val="0"/>
    <w:rPr>
      <w:rFonts w:hint="eastAsia" w:ascii="宋体" w:hAnsi="宋体" w:eastAsia="宋体" w:cs="宋体"/>
      <w:color w:val="000000"/>
      <w:sz w:val="24"/>
      <w:szCs w:val="24"/>
      <w:u w:val="none"/>
    </w:rPr>
  </w:style>
  <w:style w:type="character" w:customStyle="1" w:styleId="29">
    <w:name w:val="font71"/>
    <w:basedOn w:val="17"/>
    <w:qFormat/>
    <w:uiPriority w:val="0"/>
    <w:rPr>
      <w:rFonts w:hint="default" w:ascii="楷体_GB2312" w:eastAsia="楷体_GB2312" w:cs="楷体_GB2312"/>
      <w:color w:val="FF0000"/>
      <w:sz w:val="24"/>
      <w:szCs w:val="24"/>
      <w:u w:val="none"/>
    </w:rPr>
  </w:style>
  <w:style w:type="character" w:customStyle="1" w:styleId="30">
    <w:name w:val="font51"/>
    <w:basedOn w:val="17"/>
    <w:qFormat/>
    <w:uiPriority w:val="0"/>
    <w:rPr>
      <w:rFonts w:hint="default" w:ascii="Tahoma" w:hAnsi="Tahoma" w:eastAsia="Tahoma" w:cs="Tahoma"/>
      <w:color w:val="000000"/>
      <w:sz w:val="24"/>
      <w:szCs w:val="24"/>
      <w:u w:val="none"/>
    </w:rPr>
  </w:style>
  <w:style w:type="character" w:customStyle="1" w:styleId="31">
    <w:name w:val="font14"/>
    <w:basedOn w:val="17"/>
    <w:qFormat/>
    <w:uiPriority w:val="0"/>
    <w:rPr>
      <w:rFonts w:hint="default" w:ascii="Tahoma" w:hAnsi="Tahoma" w:eastAsia="Tahoma" w:cs="Tahoma"/>
      <w:color w:val="000000"/>
      <w:sz w:val="24"/>
      <w:szCs w:val="24"/>
      <w:u w:val="none"/>
    </w:rPr>
  </w:style>
  <w:style w:type="character" w:customStyle="1" w:styleId="32">
    <w:name w:val="font61"/>
    <w:basedOn w:val="17"/>
    <w:qFormat/>
    <w:uiPriority w:val="0"/>
    <w:rPr>
      <w:rFonts w:hint="eastAsia" w:ascii="宋体" w:hAnsi="宋体" w:eastAsia="宋体" w:cs="宋体"/>
      <w:color w:val="FF0000"/>
      <w:sz w:val="24"/>
      <w:szCs w:val="24"/>
      <w:u w:val="none"/>
    </w:rPr>
  </w:style>
  <w:style w:type="paragraph" w:styleId="33">
    <w:name w:val="List Paragraph"/>
    <w:basedOn w:val="1"/>
    <w:qFormat/>
    <w:uiPriority w:val="99"/>
    <w:pPr>
      <w:ind w:firstLine="420" w:firstLineChars="200"/>
    </w:pPr>
  </w:style>
  <w:style w:type="paragraph" w:customStyle="1" w:styleId="34">
    <w:name w:val="其他"/>
    <w:basedOn w:val="1"/>
    <w:link w:val="35"/>
    <w:qFormat/>
    <w:uiPriority w:val="99"/>
    <w:pPr>
      <w:shd w:val="clear" w:color="auto" w:fill="FFFFFF"/>
      <w:jc w:val="left"/>
    </w:pPr>
    <w:rPr>
      <w:rFonts w:ascii="MingLiU" w:eastAsia="MingLiU"/>
      <w:kern w:val="0"/>
      <w:sz w:val="20"/>
      <w:szCs w:val="20"/>
      <w:lang w:val="zh-CN"/>
    </w:rPr>
  </w:style>
  <w:style w:type="character" w:customStyle="1" w:styleId="35">
    <w:name w:val="其他_"/>
    <w:link w:val="34"/>
    <w:qFormat/>
    <w:locked/>
    <w:uiPriority w:val="99"/>
    <w:rPr>
      <w:rFonts w:ascii="MingLiU" w:eastAsia="MingLiU"/>
      <w:kern w:val="0"/>
      <w:sz w:val="20"/>
      <w:szCs w:val="20"/>
      <w:lang w:val="zh-CN"/>
    </w:rPr>
  </w:style>
  <w:style w:type="character" w:customStyle="1" w:styleId="36">
    <w:name w:val="标题 #4_"/>
    <w:link w:val="37"/>
    <w:qFormat/>
    <w:locked/>
    <w:uiPriority w:val="99"/>
    <w:rPr>
      <w:rFonts w:ascii="MingLiU" w:eastAsia="MingLiU"/>
      <w:b/>
      <w:bCs/>
      <w:kern w:val="0"/>
      <w:sz w:val="36"/>
      <w:szCs w:val="36"/>
      <w:lang w:val="zh-CN"/>
    </w:rPr>
  </w:style>
  <w:style w:type="paragraph" w:customStyle="1" w:styleId="37">
    <w:name w:val="标题 #4"/>
    <w:basedOn w:val="1"/>
    <w:link w:val="36"/>
    <w:autoRedefine/>
    <w:qFormat/>
    <w:uiPriority w:val="99"/>
    <w:pPr>
      <w:shd w:val="clear" w:color="auto" w:fill="FFFFFF"/>
      <w:spacing w:after="210"/>
      <w:jc w:val="left"/>
      <w:outlineLvl w:val="3"/>
    </w:pPr>
    <w:rPr>
      <w:rFonts w:ascii="MingLiU" w:eastAsia="MingLiU"/>
      <w:b/>
      <w:bCs/>
      <w:kern w:val="0"/>
      <w:sz w:val="36"/>
      <w:szCs w:val="36"/>
      <w:lang w:val="zh-CN"/>
    </w:rPr>
  </w:style>
  <w:style w:type="character" w:customStyle="1" w:styleId="38">
    <w:name w:val="font91"/>
    <w:basedOn w:val="17"/>
    <w:autoRedefine/>
    <w:qFormat/>
    <w:uiPriority w:val="0"/>
    <w:rPr>
      <w:rFonts w:ascii="Tahoma" w:hAnsi="Tahoma" w:eastAsia="Tahoma" w:cs="Tahoma"/>
      <w:color w:val="000000"/>
      <w:sz w:val="24"/>
      <w:szCs w:val="24"/>
      <w:u w:val="none"/>
    </w:rPr>
  </w:style>
  <w:style w:type="character" w:customStyle="1" w:styleId="39">
    <w:name w:val="font31"/>
    <w:basedOn w:val="17"/>
    <w:autoRedefine/>
    <w:qFormat/>
    <w:uiPriority w:val="0"/>
    <w:rPr>
      <w:rFonts w:hint="eastAsia" w:ascii="宋体" w:hAnsi="宋体" w:eastAsia="宋体" w:cs="宋体"/>
      <w:color w:val="FF0000"/>
      <w:sz w:val="24"/>
      <w:szCs w:val="24"/>
      <w:u w:val="none"/>
    </w:rPr>
  </w:style>
  <w:style w:type="character" w:customStyle="1" w:styleId="40">
    <w:name w:val="font101"/>
    <w:basedOn w:val="17"/>
    <w:autoRedefine/>
    <w:qFormat/>
    <w:uiPriority w:val="0"/>
    <w:rPr>
      <w:rFonts w:hint="eastAsia" w:ascii="宋体" w:hAnsi="宋体" w:eastAsia="宋体" w:cs="宋体"/>
      <w:color w:val="FF0000"/>
      <w:sz w:val="24"/>
      <w:szCs w:val="24"/>
      <w:u w:val="none"/>
    </w:rPr>
  </w:style>
  <w:style w:type="paragraph" w:customStyle="1" w:styleId="41">
    <w:name w:val="表格标题"/>
    <w:basedOn w:val="1"/>
    <w:link w:val="42"/>
    <w:autoRedefine/>
    <w:qFormat/>
    <w:uiPriority w:val="99"/>
    <w:pPr>
      <w:shd w:val="clear" w:color="auto" w:fill="FFFFFF"/>
      <w:spacing w:line="245" w:lineRule="auto"/>
      <w:jc w:val="left"/>
    </w:pPr>
    <w:rPr>
      <w:rFonts w:ascii="MingLiU" w:eastAsia="MingLiU"/>
      <w:kern w:val="0"/>
      <w:sz w:val="13"/>
      <w:szCs w:val="13"/>
      <w:lang w:val="zh-CN"/>
    </w:rPr>
  </w:style>
  <w:style w:type="character" w:customStyle="1" w:styleId="42">
    <w:name w:val="表格标题_"/>
    <w:link w:val="41"/>
    <w:qFormat/>
    <w:locked/>
    <w:uiPriority w:val="99"/>
    <w:rPr>
      <w:rFonts w:ascii="MingLiU" w:eastAsia="MingLiU"/>
      <w:kern w:val="0"/>
      <w:sz w:val="13"/>
      <w:szCs w:val="13"/>
      <w:lang w:val="zh-CN"/>
    </w:rPr>
  </w:style>
  <w:style w:type="paragraph" w:customStyle="1" w:styleId="43">
    <w:name w:val="2级标题"/>
    <w:basedOn w:val="1"/>
    <w:next w:val="1"/>
    <w:qFormat/>
    <w:uiPriority w:val="0"/>
    <w:pPr>
      <w:adjustRightInd w:val="0"/>
      <w:snapToGrid w:val="0"/>
      <w:spacing w:beforeLines="100" w:line="360" w:lineRule="auto"/>
      <w:jc w:val="left"/>
      <w:outlineLvl w:val="1"/>
    </w:pPr>
    <w:rPr>
      <w:rFonts w:eastAsia="黑体"/>
      <w:b/>
      <w:sz w:val="30"/>
      <w:szCs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1288</Words>
  <Characters>7344</Characters>
  <Lines>61</Lines>
  <Paragraphs>17</Paragraphs>
  <TotalTime>19</TotalTime>
  <ScaleCrop>false</ScaleCrop>
  <LinksUpToDate>false</LinksUpToDate>
  <CharactersWithSpaces>8615</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2025-03-12T09:23:00Z</dcterms:created>
  <dc:creator>jamin</dc:creator>
  <cp:lastModifiedBy>王建清</cp:lastModifiedBy>
  <cp:lastPrinted>2018-08-20T02:56:00Z</cp:lastPrinted>
  <dcterms:modified xsi:type="dcterms:W3CDTF">2025-07-30T08:22:57Z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11FC968C7D014BC083DDCFB0DE365503_13</vt:lpwstr>
  </property>
</Properties>
</file>