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36"/>
          <w:szCs w:val="36"/>
        </w:rPr>
      </w:pPr>
      <w:r>
        <w:rPr>
          <w:rFonts w:hint="eastAsia" w:ascii="黑体" w:hAnsi="宋体" w:eastAsia="黑体"/>
          <w:b/>
          <w:sz w:val="36"/>
          <w:szCs w:val="36"/>
        </w:rPr>
        <w:t xml:space="preserve"> 《</w:t>
      </w:r>
      <w:r>
        <w:rPr>
          <w:rFonts w:hint="eastAsia" w:ascii="黑体" w:hAnsi="宋体" w:eastAsia="黑体"/>
          <w:bCs/>
          <w:sz w:val="36"/>
          <w:szCs w:val="36"/>
        </w:rPr>
        <w:t>招标文</w:t>
      </w:r>
      <w:r>
        <w:rPr>
          <w:rFonts w:hint="eastAsia" w:ascii="宋体" w:hAnsi="宋体"/>
          <w:b/>
          <w:bCs/>
          <w:sz w:val="36"/>
          <w:szCs w:val="36"/>
        </w:rPr>
        <w:t>件</w:t>
      </w:r>
      <w:r>
        <w:rPr>
          <w:rFonts w:hint="eastAsia" w:ascii="黑体" w:hAnsi="宋体" w:eastAsia="黑体"/>
          <w:b/>
          <w:sz w:val="36"/>
          <w:szCs w:val="36"/>
        </w:rPr>
        <w:t>》</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p>
    <w:p>
      <w:pPr>
        <w:widowControl/>
        <w:spacing w:line="400" w:lineRule="exact"/>
        <w:ind w:left="1505" w:hanging="1505" w:hangingChars="500"/>
        <w:jc w:val="center"/>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bookmarkStart w:id="0" w:name="OLE_LINK2"/>
      <w:bookmarkStart w:id="1" w:name="OLE_LINK1"/>
      <w:r>
        <w:rPr>
          <w:rFonts w:hint="eastAsia" w:ascii="仿宋" w:hAnsi="仿宋" w:eastAsia="仿宋" w:cs="仿宋"/>
          <w:b/>
          <w:bCs/>
          <w:spacing w:val="10"/>
          <w:sz w:val="28"/>
          <w:szCs w:val="28"/>
          <w:u w:val="single"/>
        </w:rPr>
        <w:t>金晖路厂隔音降噪采购项目</w:t>
      </w:r>
      <w:bookmarkEnd w:id="0"/>
      <w:bookmarkEnd w:id="1"/>
    </w:p>
    <w:p>
      <w:pPr>
        <w:widowControl/>
        <w:spacing w:line="400" w:lineRule="exact"/>
        <w:ind w:left="1505" w:hanging="1505" w:hangingChars="500"/>
        <w:jc w:val="center"/>
        <w:rPr>
          <w:rFonts w:ascii="仿宋" w:hAnsi="仿宋" w:eastAsia="仿宋" w:cs="仿宋"/>
          <w:b/>
          <w:bCs/>
          <w:spacing w:val="10"/>
          <w:sz w:val="28"/>
          <w:szCs w:val="28"/>
        </w:rPr>
      </w:pPr>
    </w:p>
    <w:p>
      <w:pPr>
        <w:widowControl/>
        <w:spacing w:line="400" w:lineRule="exact"/>
        <w:ind w:left="1505" w:hanging="1505" w:hangingChars="500"/>
        <w:jc w:val="center"/>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山东金都电子材料有限公司</w:t>
      </w:r>
    </w:p>
    <w:p>
      <w:pPr>
        <w:spacing w:line="360" w:lineRule="auto"/>
        <w:jc w:val="left"/>
        <w:rPr>
          <w:rFonts w:ascii="仿宋" w:hAnsi="仿宋" w:eastAsia="仿宋" w:cs="仿宋"/>
          <w:spacing w:val="10"/>
          <w:sz w:val="28"/>
          <w:szCs w:val="28"/>
        </w:rPr>
      </w:pPr>
    </w:p>
    <w:p>
      <w:pPr>
        <w:spacing w:line="360" w:lineRule="auto"/>
        <w:ind w:firstLine="7500" w:firstLineChars="2500"/>
        <w:jc w:val="left"/>
        <w:rPr>
          <w:rFonts w:ascii="仿宋" w:hAnsi="仿宋" w:eastAsia="仿宋" w:cs="仿宋"/>
          <w:spacing w:val="10"/>
          <w:sz w:val="28"/>
          <w:szCs w:val="28"/>
        </w:rPr>
      </w:pPr>
    </w:p>
    <w:p>
      <w:pPr>
        <w:spacing w:line="360" w:lineRule="auto"/>
        <w:ind w:firstLine="7500" w:firstLineChars="2500"/>
        <w:jc w:val="left"/>
        <w:rPr>
          <w:rFonts w:ascii="仿宋" w:hAnsi="仿宋" w:eastAsia="仿宋" w:cs="仿宋"/>
          <w:spacing w:val="10"/>
          <w:sz w:val="28"/>
          <w:szCs w:val="28"/>
        </w:rPr>
      </w:pPr>
    </w:p>
    <w:p>
      <w:pPr>
        <w:spacing w:line="360" w:lineRule="auto"/>
        <w:ind w:firstLine="7500" w:firstLineChars="2500"/>
        <w:jc w:val="left"/>
        <w:rPr>
          <w:rFonts w:ascii="仿宋" w:hAnsi="仿宋" w:eastAsia="仿宋" w:cs="仿宋"/>
          <w:spacing w:val="10"/>
          <w:sz w:val="28"/>
          <w:szCs w:val="28"/>
        </w:rPr>
      </w:pPr>
    </w:p>
    <w:p>
      <w:pPr>
        <w:spacing w:line="360" w:lineRule="auto"/>
        <w:ind w:firstLine="7500" w:firstLineChars="2500"/>
        <w:jc w:val="left"/>
        <w:rPr>
          <w:rFonts w:ascii="仿宋" w:hAnsi="仿宋" w:eastAsia="仿宋" w:cs="仿宋"/>
          <w:spacing w:val="10"/>
          <w:sz w:val="28"/>
          <w:szCs w:val="28"/>
        </w:rPr>
      </w:pPr>
      <w:r>
        <w:rPr>
          <w:rFonts w:hint="eastAsia" w:ascii="仿宋" w:hAnsi="仿宋" w:eastAsia="仿宋" w:cs="仿宋"/>
          <w:spacing w:val="10"/>
          <w:sz w:val="28"/>
          <w:szCs w:val="28"/>
        </w:rPr>
        <w:t>2025年07月</w:t>
      </w:r>
      <w:r>
        <w:rPr>
          <w:rFonts w:ascii="仿宋" w:hAnsi="仿宋" w:eastAsia="仿宋" w:cs="仿宋"/>
          <w:spacing w:val="10"/>
          <w:sz w:val="28"/>
          <w:szCs w:val="28"/>
        </w:rPr>
        <w:t>14</w:t>
      </w:r>
      <w:r>
        <w:rPr>
          <w:rFonts w:hint="eastAsia" w:ascii="仿宋" w:hAnsi="仿宋" w:eastAsia="仿宋" w:cs="仿宋"/>
          <w:spacing w:val="10"/>
          <w:sz w:val="28"/>
          <w:szCs w:val="28"/>
        </w:rPr>
        <w:t xml:space="preserve">日  </w:t>
      </w:r>
    </w:p>
    <w:p>
      <w:pPr>
        <w:spacing w:line="360" w:lineRule="auto"/>
        <w:rPr>
          <w:rFonts w:ascii="宋体" w:hAnsi="宋体"/>
          <w:b/>
          <w:bCs/>
          <w:sz w:val="28"/>
          <w:szCs w:val="28"/>
        </w:rPr>
      </w:pPr>
    </w:p>
    <w:p>
      <w:pPr>
        <w:spacing w:line="360" w:lineRule="auto"/>
        <w:jc w:val="center"/>
        <w:rPr>
          <w:rFonts w:ascii="宋体" w:hAnsi="宋体"/>
          <w:b/>
          <w:bCs/>
          <w:sz w:val="44"/>
          <w:szCs w:val="44"/>
        </w:rPr>
      </w:pPr>
      <w:r>
        <w:rPr>
          <w:rFonts w:hint="eastAsia" w:ascii="宋体" w:hAnsi="宋体"/>
          <w:b/>
          <w:bCs/>
          <w:sz w:val="44"/>
          <w:szCs w:val="44"/>
        </w:rPr>
        <w:t>招标文件</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山东金都电子材料有限公司就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金晖路厂隔音降噪采购项目</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pStyle w:val="22"/>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招标人：山东金都电子材料有限公司</w:t>
      </w:r>
    </w:p>
    <w:p>
      <w:pPr>
        <w:spacing w:line="360" w:lineRule="auto"/>
        <w:ind w:right="70" w:firstLine="562" w:firstLineChars="200"/>
        <w:rPr>
          <w:rFonts w:ascii="仿宋" w:hAnsi="仿宋" w:eastAsia="仿宋" w:cs="仿宋"/>
          <w:b/>
          <w:bCs/>
          <w:spacing w:val="10"/>
          <w:sz w:val="28"/>
          <w:szCs w:val="28"/>
          <w:u w:val="single"/>
        </w:rPr>
      </w:pPr>
      <w:r>
        <w:rPr>
          <w:rFonts w:hint="eastAsia" w:ascii="仿宋_GB2312" w:hAnsi="宋体" w:eastAsia="仿宋_GB2312"/>
          <w:b/>
          <w:bCs/>
          <w:sz w:val="28"/>
          <w:szCs w:val="28"/>
        </w:rPr>
        <w:t>二、项目名称：</w:t>
      </w:r>
      <w:r>
        <w:rPr>
          <w:rFonts w:hint="eastAsia" w:ascii="仿宋" w:hAnsi="仿宋" w:eastAsia="仿宋" w:cs="仿宋"/>
          <w:b/>
          <w:bCs/>
          <w:spacing w:val="10"/>
          <w:sz w:val="28"/>
          <w:szCs w:val="28"/>
          <w:u w:val="single"/>
        </w:rPr>
        <w:t>金晖路厂隔音降噪采购项目</w:t>
      </w:r>
    </w:p>
    <w:p>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ascii="仿宋_GB2312" w:eastAsia="仿宋_GB2312"/>
          <w:b/>
          <w:color w:val="C00000"/>
          <w:sz w:val="28"/>
          <w:szCs w:val="28"/>
        </w:rPr>
      </w:pPr>
      <w:r>
        <w:rPr>
          <w:rFonts w:hint="eastAsia" w:ascii="仿宋_GB2312" w:eastAsia="仿宋_GB2312"/>
          <w:b/>
          <w:color w:val="C00000"/>
          <w:sz w:val="28"/>
          <w:szCs w:val="28"/>
        </w:rPr>
        <w:t>技术投标时间：2025.07.1</w:t>
      </w:r>
      <w:r>
        <w:rPr>
          <w:rFonts w:ascii="仿宋_GB2312" w:eastAsia="仿宋_GB2312"/>
          <w:b/>
          <w:color w:val="C00000"/>
          <w:sz w:val="28"/>
          <w:szCs w:val="28"/>
        </w:rPr>
        <w:t>5</w:t>
      </w:r>
      <w:r>
        <w:rPr>
          <w:rFonts w:hint="eastAsia" w:ascii="仿宋_GB2312" w:eastAsia="仿宋_GB2312"/>
          <w:b/>
          <w:color w:val="C00000"/>
          <w:sz w:val="28"/>
          <w:szCs w:val="28"/>
        </w:rPr>
        <w:t>-2025.07.</w:t>
      </w:r>
      <w:r>
        <w:rPr>
          <w:rFonts w:ascii="仿宋_GB2312" w:eastAsia="仿宋_GB2312"/>
          <w:b/>
          <w:color w:val="C00000"/>
          <w:sz w:val="28"/>
          <w:szCs w:val="28"/>
        </w:rPr>
        <w:t>20</w:t>
      </w:r>
    </w:p>
    <w:p>
      <w:pPr>
        <w:spacing w:line="360" w:lineRule="auto"/>
        <w:ind w:firstLine="1124" w:firstLineChars="400"/>
        <w:rPr>
          <w:rFonts w:ascii="仿宋_GB2312" w:eastAsia="仿宋_GB2312"/>
          <w:bCs/>
          <w:color w:val="C00000"/>
          <w:sz w:val="28"/>
          <w:szCs w:val="28"/>
        </w:rPr>
      </w:pPr>
      <w:r>
        <w:rPr>
          <w:rFonts w:hint="eastAsia" w:ascii="仿宋_GB2312" w:eastAsia="仿宋_GB2312"/>
          <w:b/>
          <w:color w:val="C00000"/>
          <w:sz w:val="28"/>
          <w:szCs w:val="28"/>
        </w:rPr>
        <w:t>商务投标时间：2025.07.</w:t>
      </w:r>
      <w:r>
        <w:rPr>
          <w:rFonts w:ascii="仿宋_GB2312" w:eastAsia="仿宋_GB2312"/>
          <w:b/>
          <w:color w:val="C00000"/>
          <w:sz w:val="28"/>
          <w:szCs w:val="28"/>
        </w:rPr>
        <w:t>20</w:t>
      </w:r>
      <w:r>
        <w:rPr>
          <w:rFonts w:hint="eastAsia" w:ascii="仿宋_GB2312" w:eastAsia="仿宋_GB2312"/>
          <w:b/>
          <w:color w:val="C00000"/>
          <w:sz w:val="28"/>
          <w:szCs w:val="28"/>
        </w:rPr>
        <w:t>-2025.07.</w:t>
      </w:r>
      <w:r>
        <w:rPr>
          <w:rFonts w:ascii="仿宋_GB2312" w:eastAsia="仿宋_GB2312"/>
          <w:b/>
          <w:color w:val="C00000"/>
          <w:sz w:val="28"/>
          <w:szCs w:val="28"/>
        </w:rPr>
        <w:t>22</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薛林源</w:t>
      </w:r>
    </w:p>
    <w:p>
      <w:pPr>
        <w:spacing w:line="360" w:lineRule="auto"/>
        <w:ind w:right="70" w:firstLine="1124" w:firstLineChars="400"/>
        <w:rPr>
          <w:rFonts w:ascii="仿宋_GB2312" w:hAnsi="宋体" w:eastAsia="仿宋_GB2312"/>
          <w:b/>
          <w:bCs/>
          <w:sz w:val="28"/>
          <w:szCs w:val="28"/>
        </w:rPr>
      </w:pPr>
      <w:r>
        <w:rPr>
          <w:rFonts w:hint="eastAsia" w:ascii="仿宋_GB2312" w:hAnsi="宋体" w:eastAsia="仿宋_GB2312"/>
          <w:b/>
          <w:bCs/>
          <w:sz w:val="28"/>
          <w:szCs w:val="28"/>
        </w:rPr>
        <w:t>联系方式：  13</w:t>
      </w:r>
      <w:r>
        <w:rPr>
          <w:rFonts w:hint="eastAsia" w:ascii="仿宋_GB2312" w:hAnsi="宋体" w:eastAsia="仿宋_GB2312"/>
          <w:b/>
          <w:bCs/>
          <w:sz w:val="28"/>
          <w:szCs w:val="28"/>
          <w:lang w:val="en-US" w:eastAsia="zh-CN"/>
        </w:rPr>
        <w:t>58</w:t>
      </w:r>
      <w:r>
        <w:rPr>
          <w:rFonts w:hint="eastAsia" w:ascii="仿宋_GB2312" w:hAnsi="宋体" w:eastAsia="仿宋_GB2312"/>
          <w:b/>
          <w:bCs/>
          <w:sz w:val="28"/>
          <w:szCs w:val="28"/>
        </w:rPr>
        <w:t>3535466</w:t>
      </w:r>
    </w:p>
    <w:p>
      <w:pPr>
        <w:spacing w:line="360" w:lineRule="auto"/>
        <w:ind w:right="70" w:firstLine="1124" w:firstLineChars="400"/>
        <w:rPr>
          <w:rFonts w:ascii="仿宋_GB2312" w:hAnsi="宋体" w:eastAsia="仿宋_GB2312"/>
          <w:b/>
          <w:bCs/>
          <w:sz w:val="28"/>
          <w:szCs w:val="28"/>
        </w:rPr>
      </w:pPr>
      <w:r>
        <w:rPr>
          <w:rFonts w:hint="eastAsia" w:ascii="仿宋_GB2312" w:hAnsi="宋体" w:eastAsia="仿宋_GB2312"/>
          <w:b/>
          <w:bCs/>
          <w:sz w:val="28"/>
          <w:szCs w:val="28"/>
        </w:rPr>
        <w:t>技术方案邮箱：djianli@chin</w:t>
      </w:r>
      <w:bookmarkStart w:id="2" w:name="_GoBack"/>
      <w:bookmarkEnd w:id="2"/>
      <w:r>
        <w:rPr>
          <w:rFonts w:hint="eastAsia" w:ascii="仿宋_GB2312" w:hAnsi="宋体" w:eastAsia="仿宋_GB2312"/>
          <w:b/>
          <w:bCs/>
          <w:sz w:val="28"/>
          <w:szCs w:val="28"/>
        </w:rPr>
        <w:t>ajinbao.com</w:t>
      </w:r>
    </w:p>
    <w:p>
      <w:pPr>
        <w:numPr>
          <w:ilvl w:val="0"/>
          <w:numId w:val="2"/>
        </w:num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color w:val="C00000"/>
          <w:sz w:val="28"/>
          <w:szCs w:val="28"/>
        </w:rPr>
        <w:t>商务联系人：</w:t>
      </w:r>
      <w:r>
        <w:rPr>
          <w:rFonts w:hint="eastAsia" w:ascii="仿宋_GB2312" w:hAnsi="宋体" w:eastAsia="仿宋_GB2312"/>
          <w:b/>
          <w:bCs/>
          <w:color w:val="C00000"/>
          <w:sz w:val="28"/>
          <w:szCs w:val="28"/>
          <w:lang w:eastAsia="zh-CN"/>
        </w:rPr>
        <w:t>赵艳超</w:t>
      </w:r>
      <w:r>
        <w:rPr>
          <w:rFonts w:hint="eastAsia" w:ascii="仿宋_GB2312" w:hAnsi="宋体" w:eastAsia="仿宋_GB2312"/>
          <w:b/>
          <w:bCs/>
          <w:color w:val="C00000"/>
          <w:sz w:val="28"/>
          <w:szCs w:val="28"/>
        </w:rPr>
        <w:t xml:space="preserve">     联系方式：</w:t>
      </w:r>
      <w:r>
        <w:rPr>
          <w:rFonts w:hint="eastAsia" w:ascii="仿宋_GB2312" w:hAnsi="宋体" w:eastAsia="仿宋_GB2312"/>
          <w:b/>
          <w:bCs/>
          <w:color w:val="C00000"/>
          <w:sz w:val="28"/>
          <w:szCs w:val="28"/>
          <w:lang w:val="en-US" w:eastAsia="zh-CN"/>
        </w:rPr>
        <w:t>13276387635</w:t>
      </w:r>
    </w:p>
    <w:p>
      <w:pPr>
        <w:numPr>
          <w:ilvl w:val="0"/>
          <w:numId w:val="2"/>
        </w:numPr>
        <w:spacing w:line="360" w:lineRule="auto"/>
        <w:ind w:right="70" w:firstLine="562" w:firstLineChars="200"/>
        <w:rPr>
          <w:rFonts w:ascii="仿宋_GB2312" w:hAnsi="宋体" w:eastAsia="仿宋_GB2312"/>
          <w:b/>
          <w:bCs/>
          <w:sz w:val="30"/>
          <w:szCs w:val="30"/>
        </w:rPr>
      </w:pPr>
      <w:r>
        <w:rPr>
          <w:rFonts w:hint="eastAsia" w:ascii="仿宋_GB2312" w:hAnsi="宋体" w:eastAsia="仿宋_GB2312"/>
          <w:b/>
          <w:bCs/>
          <w:sz w:val="28"/>
          <w:szCs w:val="28"/>
        </w:rPr>
        <w:t>商务报价邮箱</w:t>
      </w:r>
      <w:r>
        <w:rPr>
          <w:rFonts w:hint="eastAsia" w:ascii="仿宋_GB2312" w:hAnsi="宋体" w:eastAsia="仿宋_GB2312"/>
          <w:b/>
          <w:bCs/>
          <w:sz w:val="30"/>
          <w:szCs w:val="30"/>
        </w:rPr>
        <w:t>：</w:t>
      </w:r>
      <w:r>
        <w:fldChar w:fldCharType="begin"/>
      </w:r>
      <w:r>
        <w:instrText xml:space="preserve"> HYPERLINK "mailto:jinbaoxb@chinajinbao.com" </w:instrText>
      </w:r>
      <w:r>
        <w:fldChar w:fldCharType="separate"/>
      </w:r>
      <w:r>
        <w:rPr>
          <w:rStyle w:val="19"/>
          <w:rFonts w:hint="eastAsia" w:ascii="仿宋_GB2312" w:hAnsi="宋体" w:eastAsia="仿宋_GB2312"/>
          <w:b/>
          <w:bCs/>
          <w:sz w:val="30"/>
          <w:szCs w:val="30"/>
        </w:rPr>
        <w:t>jinbaoxb@chinajinbao.com</w:t>
      </w:r>
      <w:r>
        <w:rPr>
          <w:rStyle w:val="19"/>
          <w:rFonts w:hint="eastAsia" w:ascii="仿宋_GB2312" w:hAnsi="宋体" w:eastAsia="仿宋_GB2312"/>
          <w:b/>
          <w:bCs/>
          <w:sz w:val="30"/>
          <w:szCs w:val="30"/>
        </w:rPr>
        <w:fldChar w:fldCharType="end"/>
      </w:r>
    </w:p>
    <w:p>
      <w:pPr>
        <w:spacing w:line="360" w:lineRule="auto"/>
        <w:ind w:right="70" w:firstLine="600" w:firstLineChars="200"/>
        <w:rPr>
          <w:rFonts w:ascii="仿宋_GB2312" w:hAnsi="宋体" w:eastAsia="仿宋_GB2312"/>
          <w:b/>
          <w:bCs/>
          <w:color w:val="C00000"/>
          <w:sz w:val="28"/>
          <w:szCs w:val="28"/>
        </w:rPr>
      </w:pPr>
      <w:r>
        <w:rPr>
          <w:rFonts w:hint="eastAsia"/>
          <w:sz w:val="30"/>
          <w:szCs w:val="30"/>
        </w:rPr>
        <w:t>七、</w:t>
      </w:r>
      <w:r>
        <w:rPr>
          <w:rFonts w:hint="eastAsia" w:ascii="仿宋_GB2312" w:hAnsi="宋体" w:eastAsia="仿宋_GB2312"/>
          <w:b/>
          <w:bCs/>
          <w:color w:val="C00000"/>
          <w:sz w:val="28"/>
          <w:szCs w:val="28"/>
        </w:rPr>
        <w:t>投标保证金： 3000 元</w:t>
      </w:r>
    </w:p>
    <w:p>
      <w:pPr>
        <w:spacing w:line="360" w:lineRule="auto"/>
        <w:ind w:right="70" w:firstLine="562" w:firstLineChars="200"/>
        <w:rPr>
          <w:rFonts w:ascii="仿宋_GB2312" w:hAnsi="仿宋_GB2312" w:eastAsia="仿宋_GB2312" w:cs="仿宋_GB2312"/>
          <w:b/>
          <w:bCs/>
          <w:color w:val="C00000"/>
          <w:sz w:val="28"/>
          <w:szCs w:val="28"/>
        </w:rPr>
      </w:pPr>
      <w:r>
        <w:rPr>
          <w:rFonts w:hint="eastAsia" w:ascii="仿宋_GB2312" w:hAnsi="宋体" w:eastAsia="仿宋_GB2312"/>
          <w:b/>
          <w:bCs/>
          <w:sz w:val="28"/>
          <w:szCs w:val="28"/>
        </w:rPr>
        <w:t xml:space="preserve">    </w:t>
      </w:r>
      <w:r>
        <w:rPr>
          <w:rFonts w:hint="eastAsia" w:ascii="仿宋_GB2312" w:hAnsi="宋体" w:eastAsia="仿宋_GB2312"/>
          <w:b/>
          <w:bCs/>
          <w:color w:val="C00000"/>
          <w:sz w:val="28"/>
          <w:szCs w:val="28"/>
        </w:rPr>
        <w:t>汇款资料：</w:t>
      </w:r>
      <w:r>
        <w:rPr>
          <w:rFonts w:hint="eastAsia" w:ascii="仿宋_GB2312" w:hAnsi="仿宋_GB2312" w:eastAsia="仿宋_GB2312" w:cs="仿宋_GB2312"/>
          <w:b/>
          <w:bCs/>
          <w:color w:val="C00000"/>
          <w:sz w:val="28"/>
          <w:szCs w:val="28"/>
        </w:rPr>
        <w:t>单位名称：山东金宝电子有限公司</w:t>
      </w:r>
    </w:p>
    <w:p>
      <w:pPr>
        <w:widowControl/>
        <w:ind w:firstLine="2530" w:firstLineChars="9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pPr>
        <w:widowControl/>
        <w:ind w:firstLine="2530" w:firstLineChars="900"/>
        <w:jc w:val="left"/>
        <w:rPr>
          <w:rFonts w:ascii="仿宋_GB2312" w:hAnsi="宋体" w:eastAsia="仿宋_GB2312"/>
          <w:b/>
          <w:bCs/>
          <w:sz w:val="28"/>
          <w:szCs w:val="28"/>
        </w:rPr>
      </w:pPr>
      <w:r>
        <w:rPr>
          <w:rFonts w:hint="eastAsia" w:ascii="仿宋_GB2312" w:hAnsi="仿宋_GB2312" w:eastAsia="仿宋_GB2312" w:cs="仿宋_GB2312"/>
          <w:b/>
          <w:bCs/>
          <w:color w:val="C00000"/>
          <w:sz w:val="28"/>
          <w:szCs w:val="28"/>
        </w:rPr>
        <w:t>开 户 行：恒丰银行招远支行</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ind w:firstLine="560" w:firstLineChars="200"/>
        <w:rPr>
          <w:rFonts w:ascii="仿宋_GB2312" w:eastAsia="仿宋_GB2312" w:cs="宋体"/>
          <w:sz w:val="28"/>
          <w:szCs w:val="28"/>
        </w:rPr>
      </w:pPr>
      <w:r>
        <w:rPr>
          <w:rFonts w:hint="eastAsia" w:ascii="仿宋_GB2312" w:eastAsia="仿宋_GB2312" w:cs="宋体"/>
          <w:sz w:val="28"/>
          <w:szCs w:val="28"/>
        </w:rPr>
        <w:t>一、付款要求</w:t>
      </w:r>
    </w:p>
    <w:p>
      <w:pPr>
        <w:ind w:firstLine="560" w:firstLineChars="200"/>
        <w:rPr>
          <w:rFonts w:ascii="仿宋_GB2312" w:eastAsia="仿宋_GB2312" w:cs="宋体"/>
          <w:sz w:val="28"/>
          <w:szCs w:val="28"/>
        </w:rPr>
      </w:pPr>
      <w:r>
        <w:rPr>
          <w:rFonts w:hint="eastAsia" w:ascii="仿宋_GB2312" w:eastAsia="仿宋_GB2312" w:cs="宋体"/>
          <w:sz w:val="28"/>
          <w:szCs w:val="28"/>
        </w:rPr>
        <w:t>1、付款形式：电承</w:t>
      </w:r>
    </w:p>
    <w:p>
      <w:pPr>
        <w:ind w:firstLine="560" w:firstLineChars="200"/>
        <w:rPr>
          <w:rFonts w:ascii="仿宋_GB2312" w:eastAsia="仿宋_GB2312" w:cs="宋体"/>
          <w:sz w:val="28"/>
          <w:szCs w:val="28"/>
        </w:rPr>
      </w:pPr>
      <w:r>
        <w:rPr>
          <w:rFonts w:hint="eastAsia" w:ascii="仿宋_GB2312" w:eastAsia="仿宋_GB2312" w:cs="宋体"/>
          <w:sz w:val="28"/>
          <w:szCs w:val="28"/>
        </w:rPr>
        <w:t>2、付款方式：</w:t>
      </w:r>
    </w:p>
    <w:p>
      <w:pPr>
        <w:ind w:firstLine="560" w:firstLineChars="200"/>
        <w:rPr>
          <w:rFonts w:ascii="仿宋_GB2312" w:eastAsia="仿宋_GB2312" w:cs="宋体"/>
          <w:sz w:val="28"/>
          <w:szCs w:val="28"/>
        </w:rPr>
      </w:pPr>
      <w:r>
        <w:rPr>
          <w:rFonts w:hint="eastAsia" w:ascii="仿宋_GB2312" w:eastAsia="仿宋_GB2312" w:cs="宋体"/>
          <w:sz w:val="28"/>
          <w:szCs w:val="28"/>
        </w:rPr>
        <w:t>2.1、①预付款30%；②安装完成验收合格付款60%；③质保金10%（一</w:t>
      </w:r>
    </w:p>
    <w:p>
      <w:pPr>
        <w:ind w:firstLine="560" w:firstLineChars="200"/>
        <w:rPr>
          <w:rFonts w:ascii="仿宋_GB2312" w:eastAsia="仿宋_GB2312" w:cs="宋体"/>
          <w:sz w:val="28"/>
          <w:szCs w:val="28"/>
        </w:rPr>
      </w:pPr>
      <w:r>
        <w:rPr>
          <w:rFonts w:hint="eastAsia" w:ascii="仿宋_GB2312" w:eastAsia="仿宋_GB2312" w:cs="宋体"/>
          <w:sz w:val="28"/>
          <w:szCs w:val="28"/>
        </w:rPr>
        <w:t>年后付清）；</w:t>
      </w:r>
      <w:r>
        <w:rPr>
          <w:rFonts w:hint="eastAsia" w:ascii="仿宋_GB2312" w:eastAsia="仿宋_GB2312" w:cs="宋体"/>
          <w:sz w:val="28"/>
          <w:szCs w:val="28"/>
          <w:highlight w:val="yellow"/>
        </w:rPr>
        <w:t>预付款，需开具同等金额银行履约保函后才能付款。</w:t>
      </w:r>
    </w:p>
    <w:p>
      <w:pPr>
        <w:ind w:firstLine="560" w:firstLineChars="200"/>
        <w:rPr>
          <w:rFonts w:ascii="仿宋_GB2312" w:eastAsia="仿宋_GB2312" w:cs="宋体"/>
          <w:sz w:val="28"/>
          <w:szCs w:val="28"/>
        </w:rPr>
      </w:pPr>
      <w:r>
        <w:rPr>
          <w:rFonts w:hint="eastAsia" w:ascii="仿宋_GB2312" w:eastAsia="仿宋_GB2312" w:cs="宋体"/>
          <w:sz w:val="28"/>
          <w:szCs w:val="28"/>
        </w:rPr>
        <w:t>2.2、①到货安装完成验收合格付款90%；②质保金10%（一年后付清）。</w:t>
      </w:r>
    </w:p>
    <w:p>
      <w:pPr>
        <w:ind w:firstLine="560" w:firstLineChars="200"/>
        <w:rPr>
          <w:rFonts w:ascii="仿宋_GB2312" w:eastAsia="仿宋_GB2312" w:cs="宋体"/>
          <w:sz w:val="28"/>
          <w:szCs w:val="28"/>
        </w:rPr>
      </w:pPr>
      <w:r>
        <w:rPr>
          <w:rFonts w:hint="eastAsia" w:ascii="仿宋_GB2312" w:eastAsia="仿宋_GB2312" w:cs="宋体"/>
          <w:sz w:val="28"/>
          <w:szCs w:val="28"/>
        </w:rPr>
        <w:t>2.3、或者比上述两者更优越的付款条件。</w:t>
      </w:r>
    </w:p>
    <w:p>
      <w:pPr>
        <w:ind w:firstLine="560" w:firstLineChars="200"/>
        <w:rPr>
          <w:rFonts w:ascii="仿宋_GB2312" w:eastAsia="仿宋_GB2312" w:cs="宋体"/>
          <w:sz w:val="28"/>
          <w:szCs w:val="28"/>
        </w:rPr>
      </w:pPr>
      <w:r>
        <w:rPr>
          <w:rFonts w:hint="eastAsia" w:ascii="仿宋_GB2312" w:eastAsia="仿宋_GB2312" w:cs="宋体"/>
          <w:sz w:val="28"/>
          <w:szCs w:val="28"/>
        </w:rPr>
        <w:t>3、售后或其他要求：</w:t>
      </w:r>
    </w:p>
    <w:p>
      <w:pPr>
        <w:ind w:firstLine="560" w:firstLineChars="200"/>
        <w:rPr>
          <w:rFonts w:ascii="仿宋_GB2312" w:eastAsia="仿宋_GB2312" w:cs="宋体"/>
          <w:sz w:val="28"/>
          <w:szCs w:val="28"/>
        </w:rPr>
      </w:pPr>
      <w:r>
        <w:rPr>
          <w:rFonts w:hint="eastAsia" w:ascii="仿宋_GB2312" w:eastAsia="仿宋_GB2312" w:cs="宋体"/>
          <w:sz w:val="28"/>
          <w:szCs w:val="28"/>
        </w:rPr>
        <w:t>二、工期要求</w:t>
      </w:r>
    </w:p>
    <w:p>
      <w:pPr>
        <w:ind w:firstLine="560" w:firstLineChars="200"/>
        <w:rPr>
          <w:rFonts w:ascii="仿宋_GB2312" w:eastAsia="仿宋_GB2312" w:cs="宋体"/>
          <w:sz w:val="28"/>
          <w:szCs w:val="28"/>
        </w:rPr>
      </w:pPr>
      <w:r>
        <w:rPr>
          <w:rFonts w:hint="eastAsia" w:ascii="仿宋_GB2312" w:eastAsia="仿宋_GB2312" w:cs="宋体"/>
          <w:sz w:val="28"/>
          <w:szCs w:val="28"/>
        </w:rPr>
        <w:t>1、交货日期：合同签订</w:t>
      </w:r>
      <w:r>
        <w:rPr>
          <w:rFonts w:ascii="仿宋_GB2312" w:eastAsia="仿宋_GB2312" w:cs="宋体"/>
          <w:sz w:val="28"/>
          <w:szCs w:val="28"/>
        </w:rPr>
        <w:t>后</w:t>
      </w:r>
      <w:r>
        <w:rPr>
          <w:rFonts w:hint="eastAsia" w:ascii="仿宋_GB2312" w:eastAsia="仿宋_GB2312" w:cs="宋体"/>
          <w:sz w:val="28"/>
          <w:szCs w:val="28"/>
          <w:u w:val="single"/>
        </w:rPr>
        <w:t>30日</w:t>
      </w:r>
      <w:r>
        <w:rPr>
          <w:rFonts w:hint="eastAsia" w:ascii="仿宋_GB2312" w:eastAsia="仿宋_GB2312" w:cs="宋体"/>
          <w:sz w:val="28"/>
          <w:szCs w:val="28"/>
        </w:rPr>
        <w:t>。</w:t>
      </w:r>
    </w:p>
    <w:p>
      <w:pPr>
        <w:ind w:firstLine="560" w:firstLineChars="200"/>
        <w:rPr>
          <w:rFonts w:ascii="仿宋_GB2312" w:eastAsia="仿宋_GB2312" w:cs="宋体"/>
          <w:sz w:val="28"/>
          <w:szCs w:val="28"/>
        </w:rPr>
      </w:pPr>
      <w:r>
        <w:rPr>
          <w:rFonts w:hint="eastAsia" w:ascii="仿宋_GB2312" w:eastAsia="仿宋_GB2312" w:cs="宋体"/>
          <w:sz w:val="28"/>
          <w:szCs w:val="28"/>
        </w:rPr>
        <w:t>2、交货地点：金晖路229号</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pStyle w:val="22"/>
        <w:numPr>
          <w:ilvl w:val="0"/>
          <w:numId w:val="1"/>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p>
    <w:tbl>
      <w:tblPr>
        <w:tblStyle w:val="14"/>
        <w:tblW w:w="9923" w:type="dxa"/>
        <w:tblInd w:w="-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9"/>
        <w:gridCol w:w="2410"/>
        <w:gridCol w:w="851"/>
        <w:gridCol w:w="850"/>
        <w:gridCol w:w="709"/>
        <w:gridCol w:w="567"/>
        <w:gridCol w:w="709"/>
        <w:gridCol w:w="31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451" w:hRule="atLeast"/>
        </w:trPr>
        <w:tc>
          <w:tcPr>
            <w:tcW w:w="709"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序号</w:t>
            </w:r>
          </w:p>
        </w:tc>
        <w:tc>
          <w:tcPr>
            <w:tcW w:w="2410"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名  称</w:t>
            </w:r>
          </w:p>
        </w:tc>
        <w:tc>
          <w:tcPr>
            <w:tcW w:w="851"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型号</w:t>
            </w:r>
          </w:p>
        </w:tc>
        <w:tc>
          <w:tcPr>
            <w:tcW w:w="850"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单位</w:t>
            </w:r>
          </w:p>
        </w:tc>
        <w:tc>
          <w:tcPr>
            <w:tcW w:w="709"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4"/>
              </w:rPr>
            </w:pPr>
            <w:r>
              <w:rPr>
                <w:rFonts w:hint="eastAsia" w:ascii="仿宋" w:hAnsi="仿宋" w:eastAsia="仿宋" w:cs="仿宋"/>
                <w:kern w:val="0"/>
                <w:sz w:val="24"/>
              </w:rPr>
              <w:t>数量</w:t>
            </w:r>
          </w:p>
        </w:tc>
        <w:tc>
          <w:tcPr>
            <w:tcW w:w="567" w:type="dxa"/>
          </w:tcPr>
          <w:p>
            <w:pPr>
              <w:widowControl/>
              <w:spacing w:line="400" w:lineRule="exact"/>
              <w:jc w:val="center"/>
              <w:rPr>
                <w:rFonts w:ascii="仿宋" w:hAnsi="仿宋" w:eastAsia="仿宋" w:cs="仿宋"/>
                <w:kern w:val="0"/>
                <w:sz w:val="24"/>
              </w:rPr>
            </w:pPr>
            <w:r>
              <w:rPr>
                <w:rFonts w:ascii="仿宋" w:hAnsi="仿宋" w:eastAsia="仿宋" w:cs="仿宋"/>
                <w:kern w:val="0"/>
                <w:sz w:val="24"/>
              </w:rPr>
              <w:t>单价</w:t>
            </w:r>
          </w:p>
        </w:tc>
        <w:tc>
          <w:tcPr>
            <w:tcW w:w="709" w:type="dxa"/>
          </w:tcPr>
          <w:p>
            <w:pPr>
              <w:widowControl/>
              <w:spacing w:line="400" w:lineRule="exact"/>
              <w:jc w:val="center"/>
              <w:rPr>
                <w:rFonts w:ascii="仿宋" w:hAnsi="仿宋" w:eastAsia="仿宋" w:cs="仿宋"/>
                <w:kern w:val="0"/>
                <w:sz w:val="24"/>
              </w:rPr>
            </w:pPr>
            <w:r>
              <w:rPr>
                <w:rFonts w:ascii="仿宋" w:hAnsi="仿宋" w:eastAsia="仿宋" w:cs="仿宋"/>
                <w:kern w:val="0"/>
                <w:sz w:val="24"/>
              </w:rPr>
              <w:t>总价</w:t>
            </w:r>
          </w:p>
        </w:tc>
        <w:tc>
          <w:tcPr>
            <w:tcW w:w="3118"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 w:val="24"/>
              </w:rPr>
            </w:pPr>
            <w:r>
              <w:rPr>
                <w:rFonts w:ascii="仿宋" w:hAnsi="仿宋" w:eastAsia="仿宋" w:cs="仿宋"/>
                <w:kern w:val="0"/>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646" w:hRule="atLeast"/>
        </w:trPr>
        <w:tc>
          <w:tcPr>
            <w:tcW w:w="709" w:type="dxa"/>
            <w:tcBorders>
              <w:bottom w:val="single" w:color="auto" w:sz="4" w:space="0"/>
            </w:tcBorders>
            <w:tcMar>
              <w:top w:w="0" w:type="dxa"/>
              <w:left w:w="108" w:type="dxa"/>
              <w:bottom w:w="0" w:type="dxa"/>
              <w:right w:w="108" w:type="dxa"/>
            </w:tcMar>
            <w:vAlign w:val="center"/>
          </w:tcPr>
          <w:p>
            <w:pPr>
              <w:spacing w:line="520" w:lineRule="exact"/>
              <w:jc w:val="center"/>
              <w:rPr>
                <w:rFonts w:ascii="仿宋" w:hAnsi="仿宋" w:eastAsia="仿宋" w:cs="仿宋"/>
                <w:kern w:val="0"/>
                <w:sz w:val="28"/>
                <w:szCs w:val="28"/>
              </w:rPr>
            </w:pPr>
            <w:r>
              <w:rPr>
                <w:rFonts w:hint="eastAsia" w:ascii="仿宋" w:hAnsi="仿宋" w:eastAsia="仿宋" w:cs="仿宋"/>
                <w:kern w:val="0"/>
                <w:sz w:val="24"/>
              </w:rPr>
              <w:t>1</w:t>
            </w:r>
          </w:p>
        </w:tc>
        <w:tc>
          <w:tcPr>
            <w:tcW w:w="2410" w:type="dxa"/>
            <w:tcBorders>
              <w:bottom w:val="single" w:color="auto" w:sz="4" w:space="0"/>
            </w:tcBorders>
            <w:tcMar>
              <w:top w:w="0" w:type="dxa"/>
              <w:left w:w="108" w:type="dxa"/>
              <w:bottom w:w="0" w:type="dxa"/>
              <w:right w:w="108" w:type="dxa"/>
            </w:tcMar>
            <w:vAlign w:val="center"/>
          </w:tcPr>
          <w:p>
            <w:pPr>
              <w:widowControl/>
              <w:jc w:val="center"/>
              <w:rPr>
                <w:rFonts w:ascii="仿宋" w:hAnsi="仿宋" w:eastAsia="仿宋" w:cs="仿宋"/>
                <w:kern w:val="0"/>
                <w:sz w:val="24"/>
              </w:rPr>
            </w:pPr>
            <w:r>
              <w:rPr>
                <w:rFonts w:hint="eastAsia" w:ascii="仿宋" w:hAnsi="仿宋" w:eastAsia="仿宋" w:cs="仿宋"/>
                <w:kern w:val="0"/>
                <w:sz w:val="24"/>
              </w:rPr>
              <w:t>两台风冷冷水机组</w:t>
            </w:r>
          </w:p>
        </w:tc>
        <w:tc>
          <w:tcPr>
            <w:tcW w:w="851" w:type="dxa"/>
            <w:tcBorders>
              <w:bottom w:val="single" w:color="auto" w:sz="4" w:space="0"/>
            </w:tcBorders>
            <w:tcMar>
              <w:top w:w="0" w:type="dxa"/>
              <w:left w:w="108" w:type="dxa"/>
              <w:bottom w:w="0" w:type="dxa"/>
              <w:right w:w="108" w:type="dxa"/>
            </w:tcMar>
            <w:vAlign w:val="center"/>
          </w:tcPr>
          <w:p>
            <w:pPr>
              <w:widowControl/>
              <w:spacing w:line="400" w:lineRule="exact"/>
              <w:jc w:val="center"/>
              <w:rPr>
                <w:rFonts w:ascii="仿宋" w:hAnsi="仿宋" w:eastAsia="仿宋" w:cs="仿宋"/>
                <w:kern w:val="0"/>
                <w:sz w:val="24"/>
              </w:rPr>
            </w:pPr>
          </w:p>
        </w:tc>
        <w:tc>
          <w:tcPr>
            <w:tcW w:w="850" w:type="dxa"/>
            <w:tcBorders>
              <w:bottom w:val="single" w:color="auto" w:sz="4" w:space="0"/>
            </w:tcBorders>
            <w:tcMar>
              <w:top w:w="0" w:type="dxa"/>
              <w:left w:w="108" w:type="dxa"/>
              <w:bottom w:w="0" w:type="dxa"/>
              <w:right w:w="108" w:type="dxa"/>
            </w:tcMar>
            <w:vAlign w:val="center"/>
          </w:tcPr>
          <w:p>
            <w:pPr>
              <w:widowControl/>
              <w:jc w:val="center"/>
              <w:rPr>
                <w:rFonts w:ascii="仿宋" w:hAnsi="仿宋" w:eastAsia="仿宋" w:cs="仿宋"/>
                <w:kern w:val="0"/>
                <w:sz w:val="24"/>
              </w:rPr>
            </w:pPr>
            <w:r>
              <w:rPr>
                <w:rFonts w:hint="eastAsia" w:ascii="仿宋" w:hAnsi="仿宋" w:eastAsia="仿宋" w:cs="仿宋"/>
                <w:kern w:val="0"/>
                <w:sz w:val="24"/>
              </w:rPr>
              <w:t>项</w:t>
            </w:r>
          </w:p>
        </w:tc>
        <w:tc>
          <w:tcPr>
            <w:tcW w:w="709" w:type="dxa"/>
            <w:tcBorders>
              <w:bottom w:val="single" w:color="auto" w:sz="4" w:space="0"/>
            </w:tcBorders>
            <w:tcMar>
              <w:top w:w="0" w:type="dxa"/>
              <w:left w:w="108" w:type="dxa"/>
              <w:bottom w:w="0" w:type="dxa"/>
              <w:right w:w="108" w:type="dxa"/>
            </w:tcMar>
            <w:vAlign w:val="center"/>
          </w:tcPr>
          <w:p>
            <w:pPr>
              <w:widowControl/>
              <w:jc w:val="center"/>
              <w:rPr>
                <w:rFonts w:ascii="仿宋" w:hAnsi="仿宋" w:eastAsia="仿宋" w:cs="仿宋"/>
                <w:kern w:val="0"/>
                <w:sz w:val="24"/>
              </w:rPr>
            </w:pPr>
            <w:r>
              <w:rPr>
                <w:rFonts w:ascii="仿宋" w:hAnsi="仿宋" w:eastAsia="仿宋" w:cs="仿宋"/>
                <w:kern w:val="0"/>
                <w:sz w:val="24"/>
              </w:rPr>
              <w:t>1</w:t>
            </w:r>
          </w:p>
        </w:tc>
        <w:tc>
          <w:tcPr>
            <w:tcW w:w="567" w:type="dxa"/>
            <w:tcBorders>
              <w:bottom w:val="single" w:color="auto" w:sz="4" w:space="0"/>
            </w:tcBorders>
            <w:vAlign w:val="center"/>
          </w:tcPr>
          <w:p>
            <w:pPr>
              <w:spacing w:line="520" w:lineRule="exact"/>
              <w:jc w:val="center"/>
              <w:rPr>
                <w:rFonts w:ascii="仿宋" w:hAnsi="仿宋" w:eastAsia="仿宋" w:cs="仿宋"/>
                <w:kern w:val="0"/>
                <w:sz w:val="24"/>
              </w:rPr>
            </w:pPr>
          </w:p>
        </w:tc>
        <w:tc>
          <w:tcPr>
            <w:tcW w:w="709" w:type="dxa"/>
            <w:tcBorders>
              <w:bottom w:val="single" w:color="auto" w:sz="4" w:space="0"/>
            </w:tcBorders>
            <w:vAlign w:val="center"/>
          </w:tcPr>
          <w:p>
            <w:pPr>
              <w:spacing w:line="520" w:lineRule="exact"/>
              <w:jc w:val="center"/>
              <w:rPr>
                <w:rFonts w:ascii="仿宋" w:hAnsi="仿宋" w:eastAsia="仿宋" w:cs="仿宋"/>
                <w:kern w:val="0"/>
                <w:sz w:val="24"/>
              </w:rPr>
            </w:pPr>
          </w:p>
        </w:tc>
        <w:tc>
          <w:tcPr>
            <w:tcW w:w="3118" w:type="dxa"/>
            <w:vMerge w:val="restart"/>
            <w:tcMar>
              <w:top w:w="0" w:type="dxa"/>
              <w:left w:w="108" w:type="dxa"/>
              <w:bottom w:w="0" w:type="dxa"/>
              <w:right w:w="108" w:type="dxa"/>
            </w:tcMar>
            <w:vAlign w:val="center"/>
          </w:tcPr>
          <w:p>
            <w:pPr>
              <w:spacing w:line="520" w:lineRule="exact"/>
              <w:jc w:val="center"/>
              <w:rPr>
                <w:rFonts w:ascii="仿宋" w:hAnsi="仿宋" w:eastAsia="仿宋" w:cs="仿宋"/>
                <w:kern w:val="0"/>
                <w:sz w:val="24"/>
              </w:rPr>
            </w:pPr>
            <w:r>
              <w:rPr>
                <w:rFonts w:hint="eastAsia" w:ascii="仿宋" w:hAnsi="仿宋" w:eastAsia="仿宋" w:cs="仿宋"/>
                <w:kern w:val="0"/>
                <w:sz w:val="24"/>
              </w:rPr>
              <w:t xml:space="preserve"> 达到环保要求，厂区外居民不投诉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230" w:hRule="atLeast"/>
        </w:trPr>
        <w:tc>
          <w:tcPr>
            <w:tcW w:w="709" w:type="dxa"/>
            <w:tcBorders>
              <w:top w:val="single" w:color="auto" w:sz="4" w:space="0"/>
              <w:bottom w:val="single" w:color="auto" w:sz="4" w:space="0"/>
            </w:tcBorders>
            <w:tcMar>
              <w:top w:w="0" w:type="dxa"/>
              <w:left w:w="108" w:type="dxa"/>
              <w:bottom w:w="0" w:type="dxa"/>
              <w:right w:w="108" w:type="dxa"/>
            </w:tcMar>
            <w:vAlign w:val="center"/>
          </w:tcPr>
          <w:p>
            <w:pPr>
              <w:spacing w:line="520" w:lineRule="exact"/>
              <w:jc w:val="center"/>
              <w:rPr>
                <w:rFonts w:ascii="仿宋" w:hAnsi="仿宋" w:eastAsia="仿宋" w:cs="仿宋"/>
                <w:kern w:val="0"/>
                <w:sz w:val="24"/>
              </w:rPr>
            </w:pPr>
            <w:r>
              <w:rPr>
                <w:rFonts w:hint="eastAsia" w:ascii="仿宋" w:hAnsi="仿宋" w:eastAsia="仿宋" w:cs="仿宋"/>
                <w:kern w:val="0"/>
                <w:sz w:val="24"/>
              </w:rPr>
              <w:t>2</w:t>
            </w:r>
          </w:p>
        </w:tc>
        <w:tc>
          <w:tcPr>
            <w:tcW w:w="2410" w:type="dxa"/>
            <w:tcBorders>
              <w:top w:val="single" w:color="auto" w:sz="4" w:space="0"/>
              <w:bottom w:val="single" w:color="auto" w:sz="4" w:space="0"/>
            </w:tcBorders>
            <w:tcMar>
              <w:top w:w="0" w:type="dxa"/>
              <w:left w:w="108" w:type="dxa"/>
              <w:bottom w:w="0" w:type="dxa"/>
              <w:right w:w="108" w:type="dxa"/>
            </w:tcMar>
            <w:vAlign w:val="center"/>
          </w:tcPr>
          <w:p>
            <w:pPr>
              <w:jc w:val="center"/>
              <w:rPr>
                <w:rFonts w:ascii="仿宋" w:hAnsi="仿宋" w:eastAsia="仿宋" w:cs="仿宋"/>
                <w:kern w:val="0"/>
                <w:sz w:val="24"/>
              </w:rPr>
            </w:pPr>
            <w:r>
              <w:rPr>
                <w:rFonts w:hint="eastAsia" w:ascii="仿宋" w:hAnsi="仿宋" w:eastAsia="仿宋" w:cs="仿宋"/>
                <w:kern w:val="0"/>
                <w:sz w:val="24"/>
              </w:rPr>
              <w:t>西区项目楼顶冷却塔</w:t>
            </w:r>
          </w:p>
        </w:tc>
        <w:tc>
          <w:tcPr>
            <w:tcW w:w="851" w:type="dxa"/>
            <w:tcBorders>
              <w:top w:val="single" w:color="auto" w:sz="4" w:space="0"/>
              <w:bottom w:val="single" w:color="auto" w:sz="4" w:space="0"/>
            </w:tcBorders>
            <w:tcMar>
              <w:top w:w="0" w:type="dxa"/>
              <w:left w:w="108" w:type="dxa"/>
              <w:bottom w:w="0" w:type="dxa"/>
              <w:right w:w="108" w:type="dxa"/>
            </w:tcMar>
            <w:vAlign w:val="center"/>
          </w:tcPr>
          <w:p>
            <w:pPr>
              <w:spacing w:line="400" w:lineRule="exact"/>
              <w:jc w:val="center"/>
              <w:rPr>
                <w:rFonts w:ascii="仿宋" w:hAnsi="仿宋" w:eastAsia="仿宋" w:cs="仿宋"/>
                <w:kern w:val="0"/>
                <w:sz w:val="24"/>
              </w:rPr>
            </w:pPr>
          </w:p>
        </w:tc>
        <w:tc>
          <w:tcPr>
            <w:tcW w:w="850" w:type="dxa"/>
            <w:tcBorders>
              <w:top w:val="single" w:color="auto" w:sz="4" w:space="0"/>
              <w:bottom w:val="single" w:color="auto" w:sz="4" w:space="0"/>
            </w:tcBorders>
            <w:tcMar>
              <w:top w:w="0" w:type="dxa"/>
              <w:left w:w="108" w:type="dxa"/>
              <w:bottom w:w="0" w:type="dxa"/>
              <w:right w:w="108" w:type="dxa"/>
            </w:tcMar>
            <w:vAlign w:val="center"/>
          </w:tcPr>
          <w:p>
            <w:pPr>
              <w:jc w:val="center"/>
              <w:rPr>
                <w:rFonts w:ascii="仿宋" w:hAnsi="仿宋" w:eastAsia="仿宋" w:cs="仿宋"/>
                <w:kern w:val="0"/>
                <w:sz w:val="24"/>
              </w:rPr>
            </w:pPr>
            <w:r>
              <w:rPr>
                <w:rFonts w:hint="eastAsia" w:ascii="仿宋" w:hAnsi="仿宋" w:eastAsia="仿宋" w:cs="仿宋"/>
                <w:kern w:val="0"/>
                <w:sz w:val="24"/>
              </w:rPr>
              <w:t>项</w:t>
            </w:r>
          </w:p>
        </w:tc>
        <w:tc>
          <w:tcPr>
            <w:tcW w:w="709" w:type="dxa"/>
            <w:tcBorders>
              <w:top w:val="single" w:color="auto" w:sz="4" w:space="0"/>
              <w:bottom w:val="single" w:color="auto" w:sz="4" w:space="0"/>
            </w:tcBorders>
            <w:tcMar>
              <w:top w:w="0" w:type="dxa"/>
              <w:left w:w="108" w:type="dxa"/>
              <w:bottom w:w="0" w:type="dxa"/>
              <w:right w:w="108" w:type="dxa"/>
            </w:tcMar>
            <w:vAlign w:val="center"/>
          </w:tcPr>
          <w:p>
            <w:pPr>
              <w:jc w:val="center"/>
              <w:rPr>
                <w:rFonts w:ascii="仿宋" w:hAnsi="仿宋" w:eastAsia="仿宋" w:cs="仿宋"/>
                <w:kern w:val="0"/>
                <w:sz w:val="24"/>
              </w:rPr>
            </w:pPr>
            <w:r>
              <w:rPr>
                <w:rFonts w:hint="eastAsia" w:ascii="仿宋" w:hAnsi="仿宋" w:eastAsia="仿宋" w:cs="仿宋"/>
                <w:kern w:val="0"/>
                <w:sz w:val="24"/>
              </w:rPr>
              <w:t>1</w:t>
            </w:r>
          </w:p>
        </w:tc>
        <w:tc>
          <w:tcPr>
            <w:tcW w:w="567" w:type="dxa"/>
            <w:tcBorders>
              <w:top w:val="single" w:color="auto" w:sz="4" w:space="0"/>
              <w:bottom w:val="single" w:color="auto" w:sz="4" w:space="0"/>
            </w:tcBorders>
            <w:vAlign w:val="center"/>
          </w:tcPr>
          <w:p>
            <w:pPr>
              <w:spacing w:line="520" w:lineRule="exact"/>
              <w:jc w:val="center"/>
              <w:rPr>
                <w:rFonts w:ascii="仿宋" w:hAnsi="仿宋" w:eastAsia="仿宋" w:cs="仿宋"/>
                <w:kern w:val="0"/>
                <w:sz w:val="24"/>
              </w:rPr>
            </w:pPr>
          </w:p>
        </w:tc>
        <w:tc>
          <w:tcPr>
            <w:tcW w:w="709" w:type="dxa"/>
            <w:tcBorders>
              <w:top w:val="single" w:color="auto" w:sz="4" w:space="0"/>
              <w:bottom w:val="single" w:color="auto" w:sz="4" w:space="0"/>
            </w:tcBorders>
            <w:vAlign w:val="center"/>
          </w:tcPr>
          <w:p>
            <w:pPr>
              <w:spacing w:line="520" w:lineRule="exact"/>
              <w:jc w:val="center"/>
              <w:rPr>
                <w:rFonts w:ascii="仿宋" w:hAnsi="仿宋" w:eastAsia="仿宋" w:cs="仿宋"/>
                <w:kern w:val="0"/>
                <w:sz w:val="24"/>
              </w:rPr>
            </w:pPr>
          </w:p>
        </w:tc>
        <w:tc>
          <w:tcPr>
            <w:tcW w:w="3118" w:type="dxa"/>
            <w:vMerge w:val="continue"/>
            <w:tcMar>
              <w:top w:w="0" w:type="dxa"/>
              <w:left w:w="108" w:type="dxa"/>
              <w:bottom w:w="0" w:type="dxa"/>
              <w:right w:w="108" w:type="dxa"/>
            </w:tcMar>
            <w:vAlign w:val="center"/>
          </w:tcPr>
          <w:p>
            <w:pPr>
              <w:spacing w:line="520" w:lineRule="exact"/>
              <w:jc w:val="center"/>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380" w:hRule="atLeast"/>
        </w:trPr>
        <w:tc>
          <w:tcPr>
            <w:tcW w:w="709" w:type="dxa"/>
            <w:tcBorders>
              <w:top w:val="single" w:color="auto" w:sz="4" w:space="0"/>
              <w:bottom w:val="single" w:color="auto" w:sz="4" w:space="0"/>
            </w:tcBorders>
            <w:tcMar>
              <w:top w:w="0" w:type="dxa"/>
              <w:left w:w="108" w:type="dxa"/>
              <w:bottom w:w="0" w:type="dxa"/>
              <w:right w:w="108" w:type="dxa"/>
            </w:tcMar>
            <w:vAlign w:val="center"/>
          </w:tcPr>
          <w:p>
            <w:pPr>
              <w:spacing w:line="520" w:lineRule="exact"/>
              <w:jc w:val="center"/>
              <w:rPr>
                <w:rFonts w:ascii="仿宋" w:hAnsi="仿宋" w:eastAsia="仿宋" w:cs="仿宋"/>
                <w:kern w:val="0"/>
                <w:sz w:val="24"/>
              </w:rPr>
            </w:pPr>
            <w:r>
              <w:rPr>
                <w:rFonts w:hint="eastAsia" w:ascii="仿宋" w:hAnsi="仿宋" w:eastAsia="仿宋" w:cs="仿宋"/>
                <w:kern w:val="0"/>
                <w:sz w:val="24"/>
              </w:rPr>
              <w:t>3</w:t>
            </w:r>
          </w:p>
        </w:tc>
        <w:tc>
          <w:tcPr>
            <w:tcW w:w="2410" w:type="dxa"/>
            <w:tcBorders>
              <w:top w:val="single" w:color="auto" w:sz="4" w:space="0"/>
              <w:bottom w:val="single" w:color="auto" w:sz="4" w:space="0"/>
            </w:tcBorders>
            <w:tcMar>
              <w:top w:w="0" w:type="dxa"/>
              <w:left w:w="108" w:type="dxa"/>
              <w:bottom w:w="0" w:type="dxa"/>
              <w:right w:w="108" w:type="dxa"/>
            </w:tcMar>
            <w:vAlign w:val="center"/>
          </w:tcPr>
          <w:p>
            <w:pPr>
              <w:jc w:val="center"/>
              <w:rPr>
                <w:rFonts w:ascii="仿宋" w:hAnsi="仿宋" w:eastAsia="仿宋" w:cs="仿宋"/>
                <w:kern w:val="0"/>
                <w:sz w:val="24"/>
              </w:rPr>
            </w:pPr>
            <w:r>
              <w:rPr>
                <w:rFonts w:hint="eastAsia" w:ascii="仿宋" w:hAnsi="仿宋" w:eastAsia="仿宋" w:cs="仿宋"/>
                <w:kern w:val="0"/>
                <w:sz w:val="24"/>
              </w:rPr>
              <w:t>南区项目楼顶冷却塔</w:t>
            </w:r>
          </w:p>
        </w:tc>
        <w:tc>
          <w:tcPr>
            <w:tcW w:w="851" w:type="dxa"/>
            <w:tcBorders>
              <w:top w:val="single" w:color="auto" w:sz="4" w:space="0"/>
              <w:bottom w:val="single" w:color="auto" w:sz="4" w:space="0"/>
            </w:tcBorders>
            <w:tcMar>
              <w:top w:w="0" w:type="dxa"/>
              <w:left w:w="108" w:type="dxa"/>
              <w:bottom w:w="0" w:type="dxa"/>
              <w:right w:w="108" w:type="dxa"/>
            </w:tcMar>
            <w:vAlign w:val="center"/>
          </w:tcPr>
          <w:p>
            <w:pPr>
              <w:spacing w:line="400" w:lineRule="exact"/>
              <w:jc w:val="center"/>
              <w:rPr>
                <w:rFonts w:ascii="仿宋" w:hAnsi="仿宋" w:eastAsia="仿宋" w:cs="仿宋"/>
                <w:kern w:val="0"/>
                <w:sz w:val="24"/>
              </w:rPr>
            </w:pPr>
          </w:p>
        </w:tc>
        <w:tc>
          <w:tcPr>
            <w:tcW w:w="850" w:type="dxa"/>
            <w:tcBorders>
              <w:top w:val="single" w:color="auto" w:sz="4" w:space="0"/>
              <w:bottom w:val="single" w:color="auto" w:sz="4" w:space="0"/>
            </w:tcBorders>
            <w:tcMar>
              <w:top w:w="0" w:type="dxa"/>
              <w:left w:w="108" w:type="dxa"/>
              <w:bottom w:w="0" w:type="dxa"/>
              <w:right w:w="108" w:type="dxa"/>
            </w:tcMar>
            <w:vAlign w:val="center"/>
          </w:tcPr>
          <w:p>
            <w:pPr>
              <w:jc w:val="center"/>
              <w:rPr>
                <w:rFonts w:ascii="仿宋" w:hAnsi="仿宋" w:eastAsia="仿宋" w:cs="仿宋"/>
                <w:kern w:val="0"/>
                <w:sz w:val="24"/>
              </w:rPr>
            </w:pPr>
            <w:r>
              <w:rPr>
                <w:rFonts w:hint="eastAsia" w:ascii="仿宋" w:hAnsi="仿宋" w:eastAsia="仿宋" w:cs="仿宋"/>
                <w:kern w:val="0"/>
                <w:sz w:val="24"/>
              </w:rPr>
              <w:t>项</w:t>
            </w:r>
          </w:p>
        </w:tc>
        <w:tc>
          <w:tcPr>
            <w:tcW w:w="709" w:type="dxa"/>
            <w:tcBorders>
              <w:top w:val="single" w:color="auto" w:sz="4" w:space="0"/>
              <w:bottom w:val="single" w:color="auto" w:sz="4" w:space="0"/>
            </w:tcBorders>
            <w:tcMar>
              <w:top w:w="0" w:type="dxa"/>
              <w:left w:w="108" w:type="dxa"/>
              <w:bottom w:w="0" w:type="dxa"/>
              <w:right w:w="108" w:type="dxa"/>
            </w:tcMar>
            <w:vAlign w:val="center"/>
          </w:tcPr>
          <w:p>
            <w:pPr>
              <w:jc w:val="center"/>
              <w:rPr>
                <w:rFonts w:ascii="仿宋" w:hAnsi="仿宋" w:eastAsia="仿宋" w:cs="仿宋"/>
                <w:kern w:val="0"/>
                <w:sz w:val="24"/>
              </w:rPr>
            </w:pPr>
            <w:r>
              <w:rPr>
                <w:rFonts w:hint="eastAsia" w:ascii="仿宋" w:hAnsi="仿宋" w:eastAsia="仿宋" w:cs="仿宋"/>
                <w:kern w:val="0"/>
                <w:sz w:val="24"/>
              </w:rPr>
              <w:t>1</w:t>
            </w:r>
          </w:p>
        </w:tc>
        <w:tc>
          <w:tcPr>
            <w:tcW w:w="567" w:type="dxa"/>
            <w:tcBorders>
              <w:top w:val="single" w:color="auto" w:sz="4" w:space="0"/>
              <w:bottom w:val="single" w:color="auto" w:sz="4" w:space="0"/>
            </w:tcBorders>
            <w:vAlign w:val="center"/>
          </w:tcPr>
          <w:p>
            <w:pPr>
              <w:spacing w:line="520" w:lineRule="exact"/>
              <w:jc w:val="center"/>
              <w:rPr>
                <w:rFonts w:ascii="仿宋" w:hAnsi="仿宋" w:eastAsia="仿宋" w:cs="仿宋"/>
                <w:kern w:val="0"/>
                <w:sz w:val="24"/>
              </w:rPr>
            </w:pPr>
          </w:p>
        </w:tc>
        <w:tc>
          <w:tcPr>
            <w:tcW w:w="709" w:type="dxa"/>
            <w:tcBorders>
              <w:top w:val="single" w:color="auto" w:sz="4" w:space="0"/>
              <w:bottom w:val="single" w:color="auto" w:sz="4" w:space="0"/>
            </w:tcBorders>
            <w:vAlign w:val="center"/>
          </w:tcPr>
          <w:p>
            <w:pPr>
              <w:spacing w:line="520" w:lineRule="exact"/>
              <w:jc w:val="center"/>
              <w:rPr>
                <w:rFonts w:ascii="仿宋" w:hAnsi="仿宋" w:eastAsia="仿宋" w:cs="仿宋"/>
                <w:kern w:val="0"/>
                <w:sz w:val="24"/>
              </w:rPr>
            </w:pPr>
          </w:p>
        </w:tc>
        <w:tc>
          <w:tcPr>
            <w:tcW w:w="3118" w:type="dxa"/>
            <w:vMerge w:val="continue"/>
            <w:tcBorders>
              <w:bottom w:val="single" w:color="auto" w:sz="4" w:space="0"/>
            </w:tcBorders>
            <w:tcMar>
              <w:top w:w="0" w:type="dxa"/>
              <w:left w:w="108" w:type="dxa"/>
              <w:bottom w:w="0" w:type="dxa"/>
              <w:right w:w="108" w:type="dxa"/>
            </w:tcMar>
            <w:vAlign w:val="center"/>
          </w:tcPr>
          <w:p>
            <w:pPr>
              <w:spacing w:line="520" w:lineRule="exact"/>
              <w:jc w:val="center"/>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rHeight w:val="130" w:hRule="atLeast"/>
        </w:trPr>
        <w:tc>
          <w:tcPr>
            <w:tcW w:w="709" w:type="dxa"/>
            <w:tcBorders>
              <w:top w:val="single" w:color="auto" w:sz="4" w:space="0"/>
            </w:tcBorders>
            <w:tcMar>
              <w:top w:w="0" w:type="dxa"/>
              <w:left w:w="108" w:type="dxa"/>
              <w:bottom w:w="0" w:type="dxa"/>
              <w:right w:w="108" w:type="dxa"/>
            </w:tcMar>
            <w:vAlign w:val="center"/>
          </w:tcPr>
          <w:p>
            <w:pPr>
              <w:spacing w:line="520" w:lineRule="exact"/>
              <w:jc w:val="center"/>
              <w:rPr>
                <w:rFonts w:ascii="仿宋" w:hAnsi="仿宋" w:eastAsia="仿宋" w:cs="仿宋"/>
                <w:kern w:val="0"/>
                <w:sz w:val="24"/>
              </w:rPr>
            </w:pPr>
            <w:r>
              <w:rPr>
                <w:rFonts w:hint="eastAsia" w:ascii="仿宋" w:hAnsi="仿宋" w:eastAsia="仿宋" w:cs="仿宋"/>
                <w:kern w:val="0"/>
                <w:sz w:val="24"/>
              </w:rPr>
              <w:t>注</w:t>
            </w:r>
          </w:p>
        </w:tc>
        <w:tc>
          <w:tcPr>
            <w:tcW w:w="9214" w:type="dxa"/>
            <w:gridSpan w:val="7"/>
            <w:tcBorders>
              <w:top w:val="single" w:color="auto" w:sz="4" w:space="0"/>
            </w:tcBorders>
            <w:tcMar>
              <w:top w:w="0" w:type="dxa"/>
              <w:left w:w="108" w:type="dxa"/>
              <w:bottom w:w="0" w:type="dxa"/>
              <w:right w:w="108" w:type="dxa"/>
            </w:tcMar>
            <w:vAlign w:val="center"/>
          </w:tcPr>
          <w:p>
            <w:pPr>
              <w:spacing w:line="520" w:lineRule="exact"/>
              <w:jc w:val="center"/>
              <w:rPr>
                <w:rFonts w:ascii="仿宋" w:hAnsi="仿宋" w:eastAsia="仿宋" w:cs="仿宋"/>
                <w:kern w:val="0"/>
                <w:sz w:val="24"/>
              </w:rPr>
            </w:pPr>
            <w:r>
              <w:rPr>
                <w:rFonts w:hint="eastAsia" w:ascii="仿宋" w:hAnsi="仿宋" w:eastAsia="仿宋" w:cs="仿宋"/>
                <w:kern w:val="0"/>
                <w:sz w:val="24"/>
              </w:rPr>
              <w:t>投标方需查看现场</w:t>
            </w:r>
          </w:p>
        </w:tc>
      </w:tr>
    </w:tbl>
    <w:p>
      <w:pPr>
        <w:spacing w:line="360" w:lineRule="auto"/>
        <w:rPr>
          <w:rFonts w:ascii="仿宋" w:hAnsi="仿宋" w:eastAsia="仿宋" w:cs="仿宋"/>
          <w:kern w:val="0"/>
          <w:sz w:val="28"/>
          <w:szCs w:val="28"/>
        </w:rPr>
      </w:pPr>
      <w:r>
        <w:rPr>
          <w:rFonts w:hint="eastAsia" w:ascii="仿宋" w:hAnsi="仿宋" w:eastAsia="仿宋" w:cs="仿宋"/>
          <w:kern w:val="0"/>
          <w:sz w:val="28"/>
          <w:szCs w:val="28"/>
        </w:rPr>
        <w:t xml:space="preserve">   二、 技术要求</w:t>
      </w:r>
    </w:p>
    <w:p>
      <w:pPr>
        <w:spacing w:line="360" w:lineRule="auto"/>
        <w:rPr>
          <w:rFonts w:ascii="仿宋" w:hAnsi="仿宋" w:eastAsia="仿宋" w:cs="仿宋"/>
          <w:kern w:val="0"/>
          <w:sz w:val="28"/>
          <w:szCs w:val="28"/>
        </w:rPr>
      </w:pPr>
      <w:r>
        <w:rPr>
          <w:rFonts w:hint="eastAsia" w:ascii="仿宋" w:hAnsi="仿宋" w:eastAsia="仿宋" w:cs="仿宋"/>
          <w:kern w:val="0"/>
          <w:sz w:val="28"/>
          <w:szCs w:val="28"/>
        </w:rPr>
        <w:t xml:space="preserve">   </w:t>
      </w:r>
      <w:r>
        <w:rPr>
          <w:rFonts w:ascii="仿宋" w:hAnsi="仿宋" w:eastAsia="仿宋" w:cs="仿宋"/>
          <w:kern w:val="0"/>
          <w:sz w:val="28"/>
          <w:szCs w:val="28"/>
        </w:rPr>
        <w:t>1</w:t>
      </w:r>
      <w:r>
        <w:rPr>
          <w:rFonts w:hint="eastAsia" w:ascii="仿宋" w:hAnsi="仿宋" w:eastAsia="仿宋" w:cs="仿宋"/>
          <w:kern w:val="0"/>
          <w:sz w:val="28"/>
          <w:szCs w:val="28"/>
        </w:rPr>
        <w:t xml:space="preserve">、 风冷机组屋南面加装消音进风口高度1米，长5.7米，内部加装消音片间距10公分，东面留门（根据客户要求预留尺寸）北面整体隔音屏，隔音屏高4.5米，顶部封顶，预留两排消音排风口，保证两排机组通风散热效果，排风口高1.5米，宽  </w:t>
      </w:r>
    </w:p>
    <w:p>
      <w:pPr>
        <w:spacing w:line="360" w:lineRule="auto"/>
        <w:rPr>
          <w:rFonts w:ascii="仿宋" w:hAnsi="仿宋" w:eastAsia="仿宋" w:cs="仿宋"/>
          <w:kern w:val="0"/>
          <w:sz w:val="28"/>
          <w:szCs w:val="28"/>
        </w:rPr>
      </w:pPr>
      <w:r>
        <w:rPr>
          <w:rFonts w:hint="eastAsia" w:ascii="仿宋" w:hAnsi="仿宋" w:eastAsia="仿宋" w:cs="仿宋"/>
          <w:kern w:val="0"/>
          <w:sz w:val="28"/>
          <w:szCs w:val="28"/>
        </w:rPr>
        <w:t>2.4米，长9.5米，内部加装消音片，间距10公分，达到降噪标准，隔音屏采用0.8毫米厚镀锌冲孔百叶板，表面喷涂处理保证使用寿命，内部填充48kg/立方米品牌隔音棉，用3毫米隔音毡包裹，抽空铝芯铆钉固定，水处理屋加装隔音屏围挡，南面13米西面18米，窗户和门根据客户要求预留，冰机屋和水处理屋隔音墙整体连接高度一致。</w:t>
      </w:r>
    </w:p>
    <w:p>
      <w:pPr>
        <w:spacing w:line="360" w:lineRule="auto"/>
        <w:ind w:firstLine="560" w:firstLineChars="200"/>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南边冷却塔，北面16米，西面5.6米，高度6米，加装隔音屏围挡，顶部采用折角设计，内折1米，降低噪音外泄，隔音屏采用0.8毫米厚镀锌冲孔百叶板，表面喷涂处理保证使用寿命，内部填充48kg/立方米品牌隔音棉，用3毫米隔音毡包裹，抽空铝芯铆钉固定。</w:t>
      </w:r>
    </w:p>
    <w:p>
      <w:pPr>
        <w:spacing w:line="360" w:lineRule="auto"/>
        <w:ind w:firstLine="560" w:firstLineChars="200"/>
        <w:rPr>
          <w:rFonts w:ascii="仿宋" w:hAnsi="仿宋" w:eastAsia="仿宋" w:cs="仿宋"/>
          <w:kern w:val="0"/>
          <w:sz w:val="28"/>
          <w:szCs w:val="28"/>
        </w:rPr>
      </w:pPr>
      <w:r>
        <w:rPr>
          <w:rFonts w:ascii="仿宋" w:hAnsi="仿宋" w:eastAsia="仿宋" w:cs="仿宋"/>
          <w:kern w:val="0"/>
          <w:sz w:val="28"/>
          <w:szCs w:val="28"/>
        </w:rPr>
        <w:t>3</w:t>
      </w:r>
      <w:r>
        <w:rPr>
          <w:rFonts w:hint="eastAsia" w:ascii="仿宋" w:hAnsi="仿宋" w:eastAsia="仿宋" w:cs="仿宋"/>
          <w:kern w:val="0"/>
          <w:sz w:val="28"/>
          <w:szCs w:val="28"/>
        </w:rPr>
        <w:t>、西边冷却塔，1号塔，北面12米，（预留1.65米隔音门）南面3米，西面17米，高度为6米，加装隔音屏围挡，顶部折角设计，内折1米。2号冷却塔，北面3米，南面3米，西面22米，高度为6米，顶部采用折角设计，内折1米，降低噪音外泄，隔音屏采用0.8毫米厚镀锌冲孔百叶板，表面喷涂处理保证使用寿命，内部填充48kg/立方米品牌隔音棉，用3毫米隔音毡包裹，抽空铝芯铆钉固定。</w:t>
      </w:r>
    </w:p>
    <w:p>
      <w:pPr>
        <w:pStyle w:val="2"/>
        <w:ind w:firstLine="560" w:firstLineChars="200"/>
        <w:rPr>
          <w:highlight w:val="yellow"/>
        </w:rPr>
      </w:pPr>
      <w:r>
        <w:rPr>
          <w:rFonts w:hint="eastAsia" w:ascii="仿宋" w:hAnsi="仿宋" w:eastAsia="仿宋" w:cs="仿宋_GB2312"/>
          <w:szCs w:val="32"/>
          <w:highlight w:val="yellow"/>
        </w:rPr>
        <w:t>4.投标方负责安装，所用主辅材、设备及部件运输、卸车、搬运（含吊车）及所需的工具等费用均由投标方负责；</w:t>
      </w:r>
      <w:r>
        <w:rPr>
          <w:rFonts w:hint="eastAsia"/>
          <w:highlight w:val="yellow"/>
        </w:rPr>
        <w:t>施工人员应具备相关资质；</w:t>
      </w:r>
    </w:p>
    <w:p>
      <w:pPr>
        <w:spacing w:line="360" w:lineRule="auto"/>
        <w:ind w:firstLine="560" w:firstLineChars="200"/>
        <w:rPr>
          <w:rFonts w:ascii="仿宋" w:hAnsi="仿宋" w:eastAsia="仿宋"/>
          <w:sz w:val="28"/>
          <w:szCs w:val="28"/>
        </w:rPr>
      </w:pPr>
      <w:r>
        <w:rPr>
          <w:rFonts w:hint="eastAsia" w:ascii="仿宋" w:hAnsi="仿宋" w:eastAsia="仿宋" w:cs="仿宋"/>
          <w:sz w:val="28"/>
          <w:szCs w:val="28"/>
          <w:highlight w:val="yellow"/>
        </w:rPr>
        <w:t>5.施工前投标方与招标方先签订《安全生产、环保管理协议》，严格遵守招标方公司</w:t>
      </w:r>
      <w:r>
        <w:rPr>
          <w:rFonts w:hint="eastAsia" w:ascii="仿宋" w:hAnsi="仿宋" w:eastAsia="仿宋" w:cs="仿宋_GB2312"/>
          <w:sz w:val="28"/>
          <w:szCs w:val="28"/>
          <w:highlight w:val="yellow"/>
        </w:rPr>
        <w:t>的相关规章制度，施工中造成的任何人身伤害和财产损失，均由投标方承担全部责任；</w:t>
      </w:r>
    </w:p>
    <w:p>
      <w:pPr>
        <w:pStyle w:val="2"/>
      </w:pPr>
      <w:r>
        <w:rPr>
          <w:rFonts w:hint="eastAsia"/>
        </w:rPr>
        <w:t>6、投标方要充分考虑隔音墙的强度和高空风大吹倒的风险。</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三、保证条款</w:t>
      </w:r>
    </w:p>
    <w:p>
      <w:pPr>
        <w:pStyle w:val="22"/>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1、中标方制作前需提供材质检验报告单，双方签字确认后依据合同要求加工</w:t>
      </w:r>
    </w:p>
    <w:p>
      <w:pPr>
        <w:spacing w:line="360" w:lineRule="auto"/>
        <w:rPr>
          <w:rFonts w:ascii="仿宋" w:hAnsi="仿宋" w:eastAsia="仿宋" w:cs="仿宋"/>
          <w:kern w:val="0"/>
          <w:sz w:val="28"/>
          <w:szCs w:val="28"/>
        </w:rPr>
      </w:pPr>
      <w:r>
        <w:rPr>
          <w:rFonts w:hint="eastAsia" w:ascii="仿宋" w:hAnsi="仿宋" w:eastAsia="仿宋" w:cs="仿宋"/>
          <w:kern w:val="0"/>
          <w:sz w:val="28"/>
          <w:szCs w:val="28"/>
        </w:rPr>
        <w:t>完毕标的运至招标方，招标方现场初步验收合格方可改造安装，如验收不合格中标方将标的物运回，并赔偿由此给招标方造成的全部损失，招标方有权自应付款中直接扣除，有权直接解除合同，且无需承担任何责任。</w:t>
      </w:r>
    </w:p>
    <w:p>
      <w:pPr>
        <w:pStyle w:val="22"/>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2.因中标方所供货物给招标方造成环保等其他方面相关损失，中标方需承担全</w:t>
      </w:r>
    </w:p>
    <w:p>
      <w:pPr>
        <w:spacing w:line="360" w:lineRule="auto"/>
        <w:rPr>
          <w:rFonts w:ascii="仿宋" w:hAnsi="仿宋" w:eastAsia="仿宋" w:cs="仿宋"/>
          <w:kern w:val="0"/>
          <w:sz w:val="28"/>
          <w:szCs w:val="28"/>
        </w:rPr>
      </w:pPr>
      <w:r>
        <w:rPr>
          <w:rFonts w:hint="eastAsia" w:ascii="仿宋" w:hAnsi="仿宋" w:eastAsia="仿宋" w:cs="仿宋"/>
          <w:kern w:val="0"/>
          <w:sz w:val="28"/>
          <w:szCs w:val="28"/>
        </w:rPr>
        <w:t>部赔偿责任。</w:t>
      </w:r>
    </w:p>
    <w:p>
      <w:pPr>
        <w:spacing w:line="360" w:lineRule="auto"/>
        <w:ind w:firstLine="840" w:firstLineChars="300"/>
        <w:rPr>
          <w:rFonts w:ascii="仿宋" w:hAnsi="仿宋" w:eastAsia="仿宋" w:cs="仿宋"/>
          <w:kern w:val="0"/>
          <w:sz w:val="28"/>
          <w:szCs w:val="28"/>
        </w:rPr>
      </w:pPr>
      <w:r>
        <w:rPr>
          <w:rFonts w:hint="eastAsia" w:ascii="仿宋" w:hAnsi="仿宋" w:eastAsia="仿宋" w:cs="仿宋"/>
          <w:kern w:val="0"/>
          <w:sz w:val="28"/>
          <w:szCs w:val="28"/>
        </w:rPr>
        <w:t>四、交货期及运费</w:t>
      </w:r>
    </w:p>
    <w:p>
      <w:pPr>
        <w:pStyle w:val="22"/>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交货期，自合同签订生效之日起</w:t>
      </w:r>
      <w:r>
        <w:rPr>
          <w:rFonts w:hint="eastAsia" w:ascii="仿宋" w:hAnsi="仿宋" w:eastAsia="仿宋" w:cs="仿宋"/>
          <w:color w:val="0000FF"/>
          <w:kern w:val="0"/>
          <w:sz w:val="28"/>
          <w:szCs w:val="28"/>
        </w:rPr>
        <w:t>30日</w:t>
      </w:r>
      <w:r>
        <w:rPr>
          <w:rFonts w:hint="eastAsia" w:ascii="仿宋" w:hAnsi="仿宋" w:eastAsia="仿宋" w:cs="仿宋"/>
          <w:kern w:val="0"/>
          <w:sz w:val="28"/>
          <w:szCs w:val="28"/>
        </w:rPr>
        <w:t>。中标方负责到招标方的运输及费用。</w:t>
      </w:r>
    </w:p>
    <w:p>
      <w:pPr>
        <w:spacing w:line="360" w:lineRule="auto"/>
        <w:rPr>
          <w:rFonts w:ascii="仿宋" w:hAnsi="仿宋" w:eastAsia="仿宋" w:cs="仿宋"/>
          <w:kern w:val="0"/>
          <w:sz w:val="28"/>
          <w:szCs w:val="28"/>
        </w:rPr>
      </w:pPr>
      <w:r>
        <w:rPr>
          <w:rFonts w:hint="eastAsia" w:ascii="仿宋" w:hAnsi="仿宋" w:eastAsia="仿宋" w:cs="仿宋"/>
          <w:kern w:val="0"/>
          <w:sz w:val="28"/>
          <w:szCs w:val="28"/>
        </w:rPr>
        <w:t>如逾期到货，按合同应按合同总值的20%支付违约金给买方，招标方可直接从货款中扣除。如招标方逾期付款，按合同标的金额千分之一/日支付违约金给卖方。</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五、有关知识产权</w:t>
      </w:r>
    </w:p>
    <w:p>
      <w:pPr>
        <w:pStyle w:val="22"/>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因执行本合同的需要,投标方提供的与本合同有关的设备、材料、工序工艺及</w:t>
      </w:r>
    </w:p>
    <w:p>
      <w:pPr>
        <w:spacing w:line="360" w:lineRule="auto"/>
        <w:rPr>
          <w:rFonts w:ascii="仿宋" w:hAnsi="仿宋" w:eastAsia="仿宋" w:cs="仿宋"/>
          <w:kern w:val="0"/>
          <w:sz w:val="28"/>
          <w:szCs w:val="28"/>
        </w:rPr>
      </w:pPr>
      <w:r>
        <w:rPr>
          <w:rFonts w:hint="eastAsia" w:ascii="仿宋" w:hAnsi="仿宋" w:eastAsia="仿宋" w:cs="仿宋"/>
          <w:kern w:val="0"/>
          <w:sz w:val="28"/>
          <w:szCs w:val="28"/>
        </w:rPr>
        <w:t>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pStyle w:val="22"/>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六、售后服务、质量保证：售后服务事项在合同中进行约定。</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宋体" w:hAnsi="宋体" w:cs="宋体"/>
          <w:b/>
          <w:bCs/>
          <w:sz w:val="24"/>
        </w:rPr>
      </w:pPr>
      <w:r>
        <w:rPr>
          <w:rFonts w:hint="eastAsia" w:ascii="宋体" w:hAnsi="宋体" w:cs="宋体"/>
          <w:b/>
          <w:bCs/>
          <w:sz w:val="24"/>
        </w:rPr>
        <w:t>附合同模板：（投标即默认我司合同模板）</w:t>
      </w:r>
    </w:p>
    <w:p>
      <w:pPr>
        <w:snapToGrid w:val="0"/>
        <w:spacing w:beforeLines="100" w:afterLines="100" w:line="360" w:lineRule="auto"/>
        <w:ind w:right="-50" w:rightChars="-24"/>
        <w:jc w:val="center"/>
        <w:rPr>
          <w:rFonts w:ascii="仿宋" w:hAnsi="仿宋" w:eastAsia="仿宋" w:cs="仿宋"/>
          <w:b/>
          <w:bCs/>
          <w:sz w:val="36"/>
          <w:szCs w:val="36"/>
        </w:rPr>
      </w:pPr>
      <w:r>
        <w:rPr>
          <w:rFonts w:hint="eastAsia" w:ascii="仿宋" w:hAnsi="仿宋" w:eastAsia="仿宋" w:cs="仿宋"/>
          <w:b/>
          <w:bCs/>
          <w:sz w:val="36"/>
          <w:szCs w:val="36"/>
        </w:rPr>
        <w:t>XXX设备购销合同</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甲方（采购方）：山东金宝电子有限公司 </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                山东金都电子材料有限公司</w:t>
      </w:r>
    </w:p>
    <w:p>
      <w:pPr>
        <w:pStyle w:val="13"/>
        <w:ind w:firstLine="281"/>
      </w:pPr>
      <w:r>
        <w:rPr>
          <w:rFonts w:hint="eastAsia" w:ascii="仿宋" w:hAnsi="仿宋" w:eastAsia="仿宋" w:cs="仿宋"/>
          <w:b/>
          <w:sz w:val="28"/>
          <w:szCs w:val="28"/>
        </w:rPr>
        <w:t xml:space="preserve">            金宝电子（铜陵）有限公司</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乙方（供货方）： XXX公司</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pPr>
        <w:numPr>
          <w:ilvl w:val="0"/>
          <w:numId w:val="3"/>
        </w:numPr>
        <w:autoSpaceDE w:val="0"/>
        <w:autoSpaceDN w:val="0"/>
        <w:adjustRightInd w:val="0"/>
        <w:snapToGrid w:val="0"/>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设备名称、规格型号、数量、单价及合同额：</w:t>
      </w:r>
    </w:p>
    <w:tbl>
      <w:tblPr>
        <w:tblStyle w:val="14"/>
        <w:tblpPr w:leftFromText="180" w:rightFromText="180" w:vertAnchor="text" w:horzAnchor="page" w:tblpX="1574" w:tblpY="134"/>
        <w:tblOverlap w:val="never"/>
        <w:tblW w:w="9711" w:type="dxa"/>
        <w:tblInd w:w="0" w:type="dxa"/>
        <w:tblLayout w:type="fixed"/>
        <w:tblCellMar>
          <w:top w:w="0" w:type="dxa"/>
          <w:left w:w="108" w:type="dxa"/>
          <w:bottom w:w="0" w:type="dxa"/>
          <w:right w:w="108" w:type="dxa"/>
        </w:tblCellMar>
      </w:tblPr>
      <w:tblGrid>
        <w:gridCol w:w="735"/>
        <w:gridCol w:w="2150"/>
        <w:gridCol w:w="1210"/>
        <w:gridCol w:w="750"/>
        <w:gridCol w:w="1980"/>
        <w:gridCol w:w="1635"/>
        <w:gridCol w:w="1251"/>
      </w:tblGrid>
      <w:tr>
        <w:tblPrEx>
          <w:tblLayout w:type="fixed"/>
          <w:tblCellMar>
            <w:top w:w="0" w:type="dxa"/>
            <w:left w:w="108" w:type="dxa"/>
            <w:bottom w:w="0" w:type="dxa"/>
            <w:right w:w="108" w:type="dxa"/>
          </w:tblCellMar>
        </w:tblPrEx>
        <w:trPr>
          <w:trHeight w:val="1320" w:hRule="atLeast"/>
        </w:trPr>
        <w:tc>
          <w:tcPr>
            <w:tcW w:w="73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2150"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项目名称</w:t>
            </w:r>
          </w:p>
        </w:tc>
        <w:tc>
          <w:tcPr>
            <w:tcW w:w="1210"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单位</w:t>
            </w:r>
          </w:p>
        </w:tc>
        <w:tc>
          <w:tcPr>
            <w:tcW w:w="750"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数量</w:t>
            </w:r>
          </w:p>
        </w:tc>
        <w:tc>
          <w:tcPr>
            <w:tcW w:w="1980"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单价（元）</w:t>
            </w:r>
          </w:p>
        </w:tc>
        <w:tc>
          <w:tcPr>
            <w:tcW w:w="1635"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总价（元）</w:t>
            </w:r>
          </w:p>
        </w:tc>
        <w:tc>
          <w:tcPr>
            <w:tcW w:w="1251"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备注</w:t>
            </w:r>
          </w:p>
        </w:tc>
      </w:tr>
      <w:tr>
        <w:tblPrEx>
          <w:tblLayout w:type="fixed"/>
          <w:tblCellMar>
            <w:top w:w="0" w:type="dxa"/>
            <w:left w:w="108" w:type="dxa"/>
            <w:bottom w:w="0" w:type="dxa"/>
            <w:right w:w="108" w:type="dxa"/>
          </w:tblCellMar>
        </w:tblPrEx>
        <w:trPr>
          <w:trHeight w:val="960" w:hRule="atLeast"/>
        </w:trPr>
        <w:tc>
          <w:tcPr>
            <w:tcW w:w="735" w:type="dxa"/>
            <w:tcBorders>
              <w:top w:val="nil"/>
              <w:left w:val="single" w:color="000000" w:sz="8" w:space="0"/>
              <w:bottom w:val="nil"/>
              <w:right w:val="single" w:color="000000" w:sz="8" w:space="0"/>
            </w:tcBorders>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w:t>
            </w:r>
          </w:p>
        </w:tc>
        <w:tc>
          <w:tcPr>
            <w:tcW w:w="2150" w:type="dxa"/>
            <w:tcBorders>
              <w:top w:val="nil"/>
              <w:left w:val="nil"/>
              <w:bottom w:val="nil"/>
              <w:right w:val="single" w:color="000000" w:sz="8" w:space="0"/>
            </w:tcBorders>
            <w:vAlign w:val="center"/>
          </w:tcPr>
          <w:p>
            <w:pPr>
              <w:widowControl/>
              <w:textAlignment w:val="center"/>
              <w:rPr>
                <w:rFonts w:ascii="仿宋" w:hAnsi="仿宋" w:eastAsia="仿宋" w:cs="仿宋"/>
                <w:b/>
                <w:bCs/>
                <w:color w:val="000000"/>
                <w:sz w:val="28"/>
                <w:szCs w:val="28"/>
              </w:rPr>
            </w:pPr>
          </w:p>
        </w:tc>
        <w:tc>
          <w:tcPr>
            <w:tcW w:w="1210" w:type="dxa"/>
            <w:tcBorders>
              <w:top w:val="nil"/>
              <w:left w:val="nil"/>
              <w:bottom w:val="nil"/>
              <w:right w:val="single" w:color="000000" w:sz="8" w:space="0"/>
            </w:tcBorders>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套</w:t>
            </w:r>
          </w:p>
        </w:tc>
        <w:tc>
          <w:tcPr>
            <w:tcW w:w="750" w:type="dxa"/>
            <w:tcBorders>
              <w:top w:val="nil"/>
              <w:left w:val="nil"/>
              <w:bottom w:val="nil"/>
              <w:right w:val="single" w:color="000000" w:sz="8" w:space="0"/>
            </w:tcBorders>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w:t>
            </w:r>
          </w:p>
        </w:tc>
        <w:tc>
          <w:tcPr>
            <w:tcW w:w="1980" w:type="dxa"/>
            <w:tcBorders>
              <w:top w:val="nil"/>
              <w:left w:val="nil"/>
              <w:bottom w:val="nil"/>
              <w:right w:val="single" w:color="000000" w:sz="8" w:space="0"/>
            </w:tcBorders>
            <w:vAlign w:val="center"/>
          </w:tcPr>
          <w:p>
            <w:pPr>
              <w:widowControl/>
              <w:jc w:val="center"/>
              <w:textAlignment w:val="center"/>
              <w:rPr>
                <w:rFonts w:ascii="仿宋" w:hAnsi="仿宋" w:eastAsia="仿宋" w:cs="仿宋"/>
                <w:color w:val="000000"/>
                <w:sz w:val="28"/>
                <w:szCs w:val="28"/>
              </w:rPr>
            </w:pPr>
          </w:p>
        </w:tc>
        <w:tc>
          <w:tcPr>
            <w:tcW w:w="1635" w:type="dxa"/>
            <w:tcBorders>
              <w:top w:val="nil"/>
              <w:left w:val="nil"/>
              <w:bottom w:val="nil"/>
              <w:right w:val="single" w:color="000000" w:sz="8" w:space="0"/>
            </w:tcBorders>
            <w:vAlign w:val="center"/>
          </w:tcPr>
          <w:p>
            <w:pPr>
              <w:widowControl/>
              <w:jc w:val="center"/>
              <w:textAlignment w:val="center"/>
              <w:rPr>
                <w:rFonts w:ascii="仿宋" w:hAnsi="仿宋" w:eastAsia="仿宋" w:cs="仿宋"/>
                <w:color w:val="000000"/>
                <w:sz w:val="28"/>
                <w:szCs w:val="28"/>
              </w:rPr>
            </w:pPr>
          </w:p>
        </w:tc>
        <w:tc>
          <w:tcPr>
            <w:tcW w:w="1251" w:type="dxa"/>
            <w:tcBorders>
              <w:top w:val="nil"/>
              <w:left w:val="nil"/>
              <w:bottom w:val="nil"/>
              <w:right w:val="single" w:color="000000" w:sz="8" w:space="0"/>
            </w:tcBorders>
            <w:noWrap/>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721"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合计人民币（大写）：xxx（￥:xxx元）</w:t>
            </w:r>
          </w:p>
        </w:tc>
      </w:tr>
      <w:tr>
        <w:tblPrEx>
          <w:tblLayout w:type="fixed"/>
          <w:tblCellMar>
            <w:top w:w="0" w:type="dxa"/>
            <w:left w:w="108" w:type="dxa"/>
            <w:bottom w:w="0" w:type="dxa"/>
            <w:right w:w="108" w:type="dxa"/>
          </w:tblCellMar>
        </w:tblPrEx>
        <w:trPr>
          <w:trHeight w:val="480"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含xx%增值税、运费、安装调试费</w:t>
            </w:r>
          </w:p>
        </w:tc>
      </w:tr>
    </w:tbl>
    <w:p>
      <w:pPr>
        <w:pStyle w:val="13"/>
        <w:ind w:left="210" w:leftChars="100" w:firstLine="0" w:firstLineChars="0"/>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二、交货地点、时间、方式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1.交货地点：XX省XX市XX路XX号；</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2.交货时间：合同生效后，XX日之前货到甲方指定地点；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pPr>
        <w:adjustRightInd w:val="0"/>
        <w:snapToGrid w:val="0"/>
        <w:spacing w:line="360" w:lineRule="auto"/>
        <w:ind w:firstLine="562" w:firstLineChars="200"/>
      </w:pPr>
      <w:r>
        <w:rPr>
          <w:rFonts w:hint="eastAsia" w:ascii="仿宋" w:hAnsi="仿宋" w:eastAsia="仿宋" w:cs="仿宋"/>
          <w:b/>
          <w:bCs/>
          <w:sz w:val="28"/>
          <w:szCs w:val="28"/>
        </w:rPr>
        <w:t>三、付款方式</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安装调试完成，收到乙方开具的剩余全额增值税专用发票后，甲方10个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15日历日内，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pPr>
        <w:pStyle w:val="13"/>
        <w:ind w:firstLine="550" w:firstLineChars="200"/>
        <w:rPr>
          <w:b/>
          <w:bCs/>
          <w:u w:val="single"/>
        </w:rPr>
      </w:pPr>
      <w:r>
        <w:rPr>
          <w:rFonts w:hint="eastAsia" w:ascii="仿宋" w:hAnsi="仿宋" w:eastAsia="仿宋" w:cs="仿宋"/>
          <w:b/>
          <w:bCs/>
          <w:spacing w:val="-3"/>
          <w:sz w:val="28"/>
          <w:szCs w:val="28"/>
          <w:u w:val="single"/>
        </w:rPr>
        <w:t>（以上付款方式根据中标通知书）</w:t>
      </w:r>
    </w:p>
    <w:p>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四、安装、调试和验收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2.安装调试时间：至XX年XX月XX日前安装及调试完成，甲方配合乙方调试；</w:t>
      </w:r>
    </w:p>
    <w:p>
      <w:pPr>
        <w:adjustRightInd w:val="0"/>
        <w:snapToGrid w:val="0"/>
        <w:spacing w:line="360" w:lineRule="auto"/>
        <w:ind w:firstLine="560" w:firstLineChars="200"/>
        <w:rPr>
          <w:rFonts w:ascii="仿宋" w:hAnsi="仿宋" w:eastAsia="仿宋" w:cs="仿宋"/>
        </w:rPr>
      </w:pPr>
      <w:r>
        <w:rPr>
          <w:rFonts w:hint="eastAsia" w:ascii="仿宋" w:hAnsi="仿宋" w:eastAsia="仿宋" w:cs="仿宋"/>
          <w:sz w:val="28"/>
          <w:szCs w:val="28"/>
        </w:rPr>
        <w:t>3.验收标准：双方共同依据设备技术标准进行设备的验收；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4.乙方可将剩余材料、自带用于调试的工具带出厂区；</w:t>
      </w:r>
    </w:p>
    <w:p>
      <w:pPr>
        <w:pStyle w:val="13"/>
        <w:ind w:firstLine="0" w:firstLineChars="0"/>
        <w:rPr>
          <w:highlight w:val="yellow"/>
        </w:rPr>
      </w:pPr>
      <w:r>
        <w:rPr>
          <w:rFonts w:hint="eastAsia" w:ascii="仿宋" w:hAnsi="仿宋" w:eastAsia="仿宋" w:cs="仿宋"/>
          <w:sz w:val="28"/>
          <w:szCs w:val="28"/>
        </w:rPr>
        <w:t xml:space="preserve">    </w:t>
      </w:r>
      <w:r>
        <w:rPr>
          <w:rFonts w:hint="eastAsia" w:ascii="仿宋" w:hAnsi="仿宋" w:eastAsia="仿宋" w:cs="仿宋"/>
          <w:sz w:val="28"/>
          <w:szCs w:val="28"/>
          <w:highlight w:val="yellow"/>
        </w:rPr>
        <w:t>5.乙方指定xxx为安装现场安全管理负责人，电话：xxx，身份证号码：xxx，安全管理资格证书：xxx。相关人员应持有相应的作业证书。</w:t>
      </w:r>
    </w:p>
    <w:p>
      <w:pPr>
        <w:adjustRightInd w:val="0"/>
        <w:snapToGrid w:val="0"/>
        <w:spacing w:line="360" w:lineRule="auto"/>
        <w:ind w:firstLine="562" w:firstLineChars="200"/>
        <w:rPr>
          <w:rFonts w:ascii="仿宋" w:hAnsi="仿宋" w:eastAsia="仿宋" w:cs="仿宋"/>
        </w:rPr>
      </w:pPr>
      <w:r>
        <w:rPr>
          <w:rFonts w:hint="eastAsia" w:ascii="仿宋" w:hAnsi="仿宋" w:eastAsia="仿宋" w:cs="仿宋"/>
          <w:b/>
          <w:bCs/>
          <w:sz w:val="28"/>
          <w:szCs w:val="28"/>
        </w:rPr>
        <w:t>五、设备技术标准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pPr>
        <w:spacing w:line="360" w:lineRule="auto"/>
        <w:ind w:firstLine="560" w:firstLineChars="200"/>
        <w:rPr>
          <w:rFonts w:ascii="仿宋" w:hAnsi="仿宋" w:eastAsia="仿宋" w:cs="仿宋"/>
        </w:rPr>
      </w:pPr>
      <w:r>
        <w:rPr>
          <w:rFonts w:hint="eastAsia" w:ascii="仿宋" w:hAnsi="仿宋" w:eastAsia="仿宋" w:cs="仿宋"/>
          <w:sz w:val="28"/>
          <w:szCs w:val="28"/>
        </w:rPr>
        <w:t>2.乙方保证所交付的设备排放标准满足国家及甲方所在地的最新环保标准，否则按违约处理。</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六、培训与售后服务</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pPr>
        <w:numPr>
          <w:ilvl w:val="0"/>
          <w:numId w:val="4"/>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保密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十四、其它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2.所有附件均须双方签字盖章，为本合同不可分割的一部分；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3.任何对本合同的修改和/或补充，必须以书面形式经双方共同签字盖章后，方具有法律效力。</w:t>
      </w:r>
    </w:p>
    <w:p>
      <w:pPr>
        <w:spacing w:line="360" w:lineRule="auto"/>
        <w:rPr>
          <w:rFonts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pPr>
        <w:spacing w:line="360" w:lineRule="auto"/>
        <w:rPr>
          <w:rFonts w:ascii="仿宋" w:hAnsi="仿宋" w:eastAsia="仿宋" w:cs="仿宋"/>
          <w:sz w:val="28"/>
          <w:szCs w:val="28"/>
        </w:rPr>
      </w:pPr>
      <w:r>
        <w:rPr>
          <w:rFonts w:hint="eastAsia" w:ascii="仿宋" w:hAnsi="仿宋" w:eastAsia="仿宋" w:cs="仿宋"/>
          <w:sz w:val="28"/>
          <w:szCs w:val="28"/>
        </w:rPr>
        <w:t>签字日期：                       签字日期：</w:t>
      </w:r>
    </w:p>
    <w:p>
      <w:pPr>
        <w:spacing w:line="360" w:lineRule="auto"/>
        <w:rPr>
          <w:rFonts w:ascii="仿宋" w:hAnsi="仿宋" w:eastAsia="仿宋" w:cs="仿宋"/>
          <w:sz w:val="28"/>
          <w:szCs w:val="28"/>
        </w:rPr>
      </w:pPr>
      <w:r>
        <w:rPr>
          <w:rFonts w:hint="eastAsia" w:ascii="仿宋" w:hAnsi="仿宋" w:eastAsia="仿宋" w:cs="仿宋"/>
          <w:sz w:val="28"/>
          <w:szCs w:val="28"/>
        </w:rPr>
        <w:t>电 话：                           电 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pPr>
        <w:spacing w:line="360" w:lineRule="auto"/>
        <w:rPr>
          <w:rFonts w:ascii="仿宋" w:hAnsi="仿宋" w:eastAsia="仿宋" w:cs="仿宋"/>
          <w:sz w:val="28"/>
          <w:szCs w:val="28"/>
        </w:rPr>
      </w:pPr>
      <w:r>
        <w:rPr>
          <w:rFonts w:hint="eastAsia" w:ascii="仿宋" w:hAnsi="仿宋" w:eastAsia="仿宋" w:cs="仿宋"/>
          <w:sz w:val="28"/>
          <w:szCs w:val="28"/>
        </w:rPr>
        <w:t>账 号：1606 0217 0902 4200 204    账 号：</w:t>
      </w:r>
    </w:p>
    <w:p>
      <w:pPr>
        <w:spacing w:line="360" w:lineRule="auto"/>
        <w:rPr>
          <w:rFonts w:ascii="仿宋" w:hAnsi="仿宋" w:eastAsia="仿宋" w:cs="仿宋"/>
          <w:sz w:val="28"/>
          <w:szCs w:val="28"/>
        </w:rPr>
      </w:pPr>
      <w:r>
        <w:rPr>
          <w:rFonts w:hint="eastAsia" w:ascii="仿宋" w:hAnsi="仿宋" w:eastAsia="仿宋" w:cs="仿宋"/>
          <w:sz w:val="28"/>
          <w:szCs w:val="28"/>
        </w:rPr>
        <w:t>税 号：9137 0000 6134 2205 47     税 号：</w:t>
      </w:r>
    </w:p>
    <w:p>
      <w:pPr>
        <w:pStyle w:val="13"/>
        <w:ind w:firstLine="0" w:firstLineChars="0"/>
      </w:pPr>
    </w:p>
    <w:p>
      <w:pPr>
        <w:pStyle w:val="8"/>
        <w:rPr>
          <w:lang w:eastAsia="zh-CN"/>
        </w:rPr>
      </w:pPr>
    </w:p>
    <w:p>
      <w:pPr>
        <w:adjustRightInd w:val="0"/>
        <w:snapToGrid w:val="0"/>
        <w:spacing w:line="360" w:lineRule="auto"/>
        <w:ind w:firstLine="560" w:firstLineChars="200"/>
        <w:rPr>
          <w:rFonts w:ascii="仿宋" w:hAnsi="仿宋" w:eastAsia="仿宋" w:cs="仿宋"/>
          <w:sz w:val="28"/>
          <w:szCs w:val="28"/>
        </w:rPr>
      </w:pPr>
    </w:p>
    <w:p>
      <w:pPr>
        <w:adjustRightInd w:val="0"/>
        <w:snapToGrid w:val="0"/>
        <w:spacing w:line="360" w:lineRule="auto"/>
        <w:rPr>
          <w:szCs w:val="21"/>
        </w:rPr>
      </w:pPr>
    </w:p>
    <w:p>
      <w:pPr>
        <w:pStyle w:val="13"/>
        <w:ind w:firstLine="210"/>
        <w:rPr>
          <w:szCs w:val="21"/>
        </w:rPr>
      </w:pPr>
    </w:p>
    <w:p>
      <w:pPr>
        <w:pStyle w:val="13"/>
        <w:ind w:firstLine="0" w:firstLineChars="0"/>
        <w:rPr>
          <w:szCs w:val="21"/>
        </w:rPr>
      </w:pPr>
    </w:p>
    <w:p>
      <w:pPr>
        <w:pStyle w:val="13"/>
        <w:ind w:firstLine="321"/>
        <w:jc w:val="center"/>
        <w:rPr>
          <w:b/>
          <w:bCs/>
          <w:sz w:val="32"/>
          <w:szCs w:val="32"/>
        </w:rPr>
      </w:pPr>
      <w:r>
        <w:rPr>
          <w:rFonts w:hint="eastAsia"/>
          <w:b/>
          <w:bCs/>
          <w:sz w:val="32"/>
          <w:szCs w:val="32"/>
        </w:rPr>
        <w:t>技术附件</w:t>
      </w:r>
    </w:p>
    <w:p>
      <w:pPr>
        <w:pStyle w:val="13"/>
        <w:numPr>
          <w:ilvl w:val="0"/>
          <w:numId w:val="5"/>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技术要求</w:t>
      </w:r>
    </w:p>
    <w:p>
      <w:pPr>
        <w:pStyle w:val="13"/>
        <w:numPr>
          <w:ilvl w:val="0"/>
          <w:numId w:val="5"/>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设备或布置图纸（若有）</w:t>
      </w:r>
    </w:p>
    <w:p>
      <w:pPr>
        <w:pStyle w:val="13"/>
        <w:numPr>
          <w:ilvl w:val="0"/>
          <w:numId w:val="5"/>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以下空白</w:t>
      </w:r>
    </w:p>
    <w:p>
      <w:pPr>
        <w:pStyle w:val="13"/>
        <w:ind w:firstLine="0" w:firstLineChars="0"/>
        <w:rPr>
          <w:rFonts w:ascii="仿宋" w:hAnsi="仿宋" w:eastAsia="仿宋" w:cs="仿宋"/>
          <w:b/>
          <w:bCs/>
          <w:sz w:val="28"/>
          <w:szCs w:val="28"/>
        </w:rPr>
      </w:pPr>
    </w:p>
    <w:p>
      <w:pPr>
        <w:pStyle w:val="13"/>
        <w:ind w:firstLine="0" w:firstLineChars="0"/>
        <w:rPr>
          <w:rFonts w:ascii="仿宋" w:hAnsi="仿宋" w:eastAsia="仿宋" w:cs="仿宋"/>
          <w:b/>
          <w:bCs/>
          <w:sz w:val="28"/>
          <w:szCs w:val="28"/>
        </w:rPr>
      </w:pPr>
    </w:p>
    <w:p>
      <w:pPr>
        <w:pStyle w:val="13"/>
        <w:ind w:firstLine="0" w:firstLineChars="0"/>
        <w:rPr>
          <w:rFonts w:ascii="仿宋" w:hAnsi="仿宋" w:eastAsia="仿宋" w:cs="仿宋"/>
          <w:b/>
          <w:bCs/>
          <w:sz w:val="28"/>
          <w:szCs w:val="28"/>
        </w:rPr>
      </w:pPr>
      <w:r>
        <w:rPr>
          <w:rFonts w:hint="eastAsia" w:ascii="仿宋" w:hAnsi="仿宋" w:eastAsia="仿宋" w:cs="仿宋"/>
          <w:b/>
          <w:bCs/>
          <w:sz w:val="28"/>
          <w:szCs w:val="28"/>
        </w:rPr>
        <w:t>甲方合同章                               乙方合同章</w:t>
      </w:r>
    </w:p>
    <w:sectPr>
      <w:footerReference r:id="rId3" w:type="default"/>
      <w:pgSz w:w="11906" w:h="16838"/>
      <w:pgMar w:top="851" w:right="851" w:bottom="851" w:left="85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0" w:csb1="00000000"/>
  </w:font>
  <w:font w:name="Wingdings-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pPr>
          <w:pStyle w:val="10"/>
          <w:jc w:val="center"/>
        </w:pPr>
        <w:r>
          <w:fldChar w:fldCharType="begin"/>
        </w:r>
        <w:r>
          <w:instrText xml:space="preserve">PAGE   \* MERGEFORMAT</w:instrText>
        </w:r>
        <w:r>
          <w:fldChar w:fldCharType="separate"/>
        </w:r>
        <w:r>
          <w:rPr>
            <w:lang w:val="zh-CN"/>
          </w:rPr>
          <w:t>6</w:t>
        </w:r>
        <w:r>
          <w:rPr>
            <w:lang w:val="zh-CN"/>
          </w:rPr>
          <w:fldChar w:fldCharType="end"/>
        </w:r>
      </w:p>
    </w:sdtContent>
  </w:sdt>
  <w:p>
    <w:pPr>
      <w:pStyle w:val="10"/>
    </w:pPr>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0CB2AABC"/>
    <w:multiLevelType w:val="singleLevel"/>
    <w:tmpl w:val="0CB2AABC"/>
    <w:lvl w:ilvl="0" w:tentative="0">
      <w:start w:val="1"/>
      <w:numFmt w:val="decimal"/>
      <w:lvlText w:val="%1."/>
      <w:lvlJc w:val="left"/>
      <w:pPr>
        <w:tabs>
          <w:tab w:val="left" w:pos="312"/>
        </w:tabs>
      </w:pPr>
    </w:lvl>
  </w:abstractNum>
  <w:abstractNum w:abstractNumId="2">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9F847BF"/>
    <w:multiLevelType w:val="singleLevel"/>
    <w:tmpl w:val="39F847BF"/>
    <w:lvl w:ilvl="0" w:tentative="0">
      <w:start w:val="13"/>
      <w:numFmt w:val="chineseCounting"/>
      <w:suff w:val="nothing"/>
      <w:lvlText w:val="%1、"/>
      <w:lvlJc w:val="left"/>
      <w:rPr>
        <w:rFonts w:hint="eastAsia"/>
      </w:rPr>
    </w:lvl>
  </w:abstractNum>
  <w:abstractNum w:abstractNumId="4">
    <w:nsid w:val="58026870"/>
    <w:multiLevelType w:val="singleLevel"/>
    <w:tmpl w:val="58026870"/>
    <w:lvl w:ilvl="0" w:tentative="0">
      <w:start w:val="1"/>
      <w:numFmt w:val="chineseCounting"/>
      <w:suff w:val="nothing"/>
      <w:lvlText w:val="%1、"/>
      <w:lvlJc w:val="left"/>
      <w:rPr>
        <w:rFonts w:hint="eastAsia"/>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OTYyNDBlN2RmMGRiNThjZTFhZTgyNjVmNDdkMDYifQ=="/>
  </w:docVars>
  <w:rsids>
    <w:rsidRoot w:val="14D70820"/>
    <w:rsid w:val="000016AB"/>
    <w:rsid w:val="0000733E"/>
    <w:rsid w:val="00010475"/>
    <w:rsid w:val="000140A9"/>
    <w:rsid w:val="000171FD"/>
    <w:rsid w:val="000223D6"/>
    <w:rsid w:val="0002639C"/>
    <w:rsid w:val="00027922"/>
    <w:rsid w:val="00036F46"/>
    <w:rsid w:val="000400EC"/>
    <w:rsid w:val="000448D3"/>
    <w:rsid w:val="00050D99"/>
    <w:rsid w:val="000668E7"/>
    <w:rsid w:val="00066B22"/>
    <w:rsid w:val="000730C2"/>
    <w:rsid w:val="0007363F"/>
    <w:rsid w:val="00073964"/>
    <w:rsid w:val="0008072E"/>
    <w:rsid w:val="00082C71"/>
    <w:rsid w:val="00083CBE"/>
    <w:rsid w:val="00085DEC"/>
    <w:rsid w:val="000A04FB"/>
    <w:rsid w:val="000A36E6"/>
    <w:rsid w:val="000A65B0"/>
    <w:rsid w:val="000C6612"/>
    <w:rsid w:val="000D54A9"/>
    <w:rsid w:val="000E62FD"/>
    <w:rsid w:val="000F1A23"/>
    <w:rsid w:val="000F2FB0"/>
    <w:rsid w:val="0010092D"/>
    <w:rsid w:val="00107FB6"/>
    <w:rsid w:val="001217FC"/>
    <w:rsid w:val="0013257F"/>
    <w:rsid w:val="001329D2"/>
    <w:rsid w:val="0013572F"/>
    <w:rsid w:val="00142A98"/>
    <w:rsid w:val="00153202"/>
    <w:rsid w:val="0015334E"/>
    <w:rsid w:val="001534D0"/>
    <w:rsid w:val="00153B2F"/>
    <w:rsid w:val="001544D9"/>
    <w:rsid w:val="00157A1D"/>
    <w:rsid w:val="00165A7D"/>
    <w:rsid w:val="0017553A"/>
    <w:rsid w:val="00177105"/>
    <w:rsid w:val="001815FF"/>
    <w:rsid w:val="0018283D"/>
    <w:rsid w:val="001A5717"/>
    <w:rsid w:val="001B32C2"/>
    <w:rsid w:val="001C41D5"/>
    <w:rsid w:val="001C7E12"/>
    <w:rsid w:val="001C7EAB"/>
    <w:rsid w:val="001D0E12"/>
    <w:rsid w:val="001D137C"/>
    <w:rsid w:val="001D6975"/>
    <w:rsid w:val="001E6B98"/>
    <w:rsid w:val="001F3AB8"/>
    <w:rsid w:val="001F5358"/>
    <w:rsid w:val="001F60A9"/>
    <w:rsid w:val="001F6B53"/>
    <w:rsid w:val="002005FA"/>
    <w:rsid w:val="00201F6C"/>
    <w:rsid w:val="0020384D"/>
    <w:rsid w:val="00205265"/>
    <w:rsid w:val="002104F4"/>
    <w:rsid w:val="00210924"/>
    <w:rsid w:val="0021096D"/>
    <w:rsid w:val="002211E3"/>
    <w:rsid w:val="0022225D"/>
    <w:rsid w:val="002320B4"/>
    <w:rsid w:val="00242018"/>
    <w:rsid w:val="002427B8"/>
    <w:rsid w:val="0025354B"/>
    <w:rsid w:val="00264A49"/>
    <w:rsid w:val="00280892"/>
    <w:rsid w:val="0028607B"/>
    <w:rsid w:val="002A0CA1"/>
    <w:rsid w:val="002B1690"/>
    <w:rsid w:val="002C2D1A"/>
    <w:rsid w:val="002C2FDF"/>
    <w:rsid w:val="002D121C"/>
    <w:rsid w:val="002D2480"/>
    <w:rsid w:val="002D27AF"/>
    <w:rsid w:val="002D5E5B"/>
    <w:rsid w:val="002E04CD"/>
    <w:rsid w:val="002F48A7"/>
    <w:rsid w:val="002F5ABB"/>
    <w:rsid w:val="0030526E"/>
    <w:rsid w:val="00306EC9"/>
    <w:rsid w:val="00311848"/>
    <w:rsid w:val="0031742A"/>
    <w:rsid w:val="003304AD"/>
    <w:rsid w:val="00332135"/>
    <w:rsid w:val="003340A6"/>
    <w:rsid w:val="00342F58"/>
    <w:rsid w:val="00343E8C"/>
    <w:rsid w:val="0034629D"/>
    <w:rsid w:val="00353AE1"/>
    <w:rsid w:val="00355526"/>
    <w:rsid w:val="00360FD3"/>
    <w:rsid w:val="00363C63"/>
    <w:rsid w:val="0036465A"/>
    <w:rsid w:val="003750BF"/>
    <w:rsid w:val="003761A2"/>
    <w:rsid w:val="00380F0A"/>
    <w:rsid w:val="00385165"/>
    <w:rsid w:val="003864EC"/>
    <w:rsid w:val="003879DA"/>
    <w:rsid w:val="00395CFB"/>
    <w:rsid w:val="003A1B4E"/>
    <w:rsid w:val="003A42FB"/>
    <w:rsid w:val="003A7113"/>
    <w:rsid w:val="003D54BE"/>
    <w:rsid w:val="003E3E42"/>
    <w:rsid w:val="003E7C96"/>
    <w:rsid w:val="003F2FFF"/>
    <w:rsid w:val="00401E48"/>
    <w:rsid w:val="00407270"/>
    <w:rsid w:val="00434F86"/>
    <w:rsid w:val="00442BA8"/>
    <w:rsid w:val="004452CC"/>
    <w:rsid w:val="00447816"/>
    <w:rsid w:val="00457044"/>
    <w:rsid w:val="00460989"/>
    <w:rsid w:val="00465C7E"/>
    <w:rsid w:val="0047701A"/>
    <w:rsid w:val="00481206"/>
    <w:rsid w:val="004815E2"/>
    <w:rsid w:val="0048716E"/>
    <w:rsid w:val="00491715"/>
    <w:rsid w:val="00496BF6"/>
    <w:rsid w:val="004B2CEE"/>
    <w:rsid w:val="004C1FC6"/>
    <w:rsid w:val="004D75BD"/>
    <w:rsid w:val="004D7CF2"/>
    <w:rsid w:val="004E4510"/>
    <w:rsid w:val="004E4C85"/>
    <w:rsid w:val="004E6285"/>
    <w:rsid w:val="004E65D5"/>
    <w:rsid w:val="004E7C03"/>
    <w:rsid w:val="004F2EB8"/>
    <w:rsid w:val="005004FF"/>
    <w:rsid w:val="00514C06"/>
    <w:rsid w:val="0051556C"/>
    <w:rsid w:val="00515A96"/>
    <w:rsid w:val="0053182E"/>
    <w:rsid w:val="0053237F"/>
    <w:rsid w:val="00532B15"/>
    <w:rsid w:val="005419D3"/>
    <w:rsid w:val="00543389"/>
    <w:rsid w:val="00544194"/>
    <w:rsid w:val="00554A18"/>
    <w:rsid w:val="00555673"/>
    <w:rsid w:val="00591FE7"/>
    <w:rsid w:val="005967E0"/>
    <w:rsid w:val="00596B34"/>
    <w:rsid w:val="005A13E7"/>
    <w:rsid w:val="005A4D25"/>
    <w:rsid w:val="005A680C"/>
    <w:rsid w:val="005B0744"/>
    <w:rsid w:val="005B5982"/>
    <w:rsid w:val="005B5E50"/>
    <w:rsid w:val="005B6728"/>
    <w:rsid w:val="005D1CFE"/>
    <w:rsid w:val="005D32F2"/>
    <w:rsid w:val="005D5885"/>
    <w:rsid w:val="005E234F"/>
    <w:rsid w:val="005E2E79"/>
    <w:rsid w:val="005E61F2"/>
    <w:rsid w:val="005E6B4B"/>
    <w:rsid w:val="005F053E"/>
    <w:rsid w:val="006033A1"/>
    <w:rsid w:val="00623702"/>
    <w:rsid w:val="00624ACC"/>
    <w:rsid w:val="00624F66"/>
    <w:rsid w:val="0062622B"/>
    <w:rsid w:val="006377E7"/>
    <w:rsid w:val="00641833"/>
    <w:rsid w:val="00643949"/>
    <w:rsid w:val="00650F44"/>
    <w:rsid w:val="00654A9D"/>
    <w:rsid w:val="00654C79"/>
    <w:rsid w:val="00655399"/>
    <w:rsid w:val="00655BEE"/>
    <w:rsid w:val="00657DC5"/>
    <w:rsid w:val="00663003"/>
    <w:rsid w:val="0066542E"/>
    <w:rsid w:val="00670B15"/>
    <w:rsid w:val="00671045"/>
    <w:rsid w:val="00673247"/>
    <w:rsid w:val="00674491"/>
    <w:rsid w:val="0069304A"/>
    <w:rsid w:val="0069446D"/>
    <w:rsid w:val="00697EF6"/>
    <w:rsid w:val="006A50A2"/>
    <w:rsid w:val="006A6992"/>
    <w:rsid w:val="006B2553"/>
    <w:rsid w:val="006C1E9F"/>
    <w:rsid w:val="006C65BC"/>
    <w:rsid w:val="006C73B1"/>
    <w:rsid w:val="006D1F3B"/>
    <w:rsid w:val="006D23EA"/>
    <w:rsid w:val="006D6272"/>
    <w:rsid w:val="006F2E9D"/>
    <w:rsid w:val="006F3A14"/>
    <w:rsid w:val="006F569A"/>
    <w:rsid w:val="006F7572"/>
    <w:rsid w:val="006F79FB"/>
    <w:rsid w:val="007106C3"/>
    <w:rsid w:val="00711421"/>
    <w:rsid w:val="00711AA4"/>
    <w:rsid w:val="00722FE0"/>
    <w:rsid w:val="007360E7"/>
    <w:rsid w:val="0074530B"/>
    <w:rsid w:val="00746246"/>
    <w:rsid w:val="0075462E"/>
    <w:rsid w:val="007576FD"/>
    <w:rsid w:val="00764464"/>
    <w:rsid w:val="00770C6D"/>
    <w:rsid w:val="00771D8B"/>
    <w:rsid w:val="00772EF1"/>
    <w:rsid w:val="0077320F"/>
    <w:rsid w:val="007858B7"/>
    <w:rsid w:val="00794FC9"/>
    <w:rsid w:val="007A7E3F"/>
    <w:rsid w:val="007B17D6"/>
    <w:rsid w:val="007C109A"/>
    <w:rsid w:val="007C3F24"/>
    <w:rsid w:val="007C5761"/>
    <w:rsid w:val="007D3EC9"/>
    <w:rsid w:val="007D5E12"/>
    <w:rsid w:val="007E0B16"/>
    <w:rsid w:val="007F32AC"/>
    <w:rsid w:val="00800B65"/>
    <w:rsid w:val="00807D12"/>
    <w:rsid w:val="00810526"/>
    <w:rsid w:val="0081621E"/>
    <w:rsid w:val="008207D5"/>
    <w:rsid w:val="00823CFA"/>
    <w:rsid w:val="008269DC"/>
    <w:rsid w:val="00827E5A"/>
    <w:rsid w:val="00835217"/>
    <w:rsid w:val="008528A5"/>
    <w:rsid w:val="0086265E"/>
    <w:rsid w:val="008705B5"/>
    <w:rsid w:val="00877824"/>
    <w:rsid w:val="008840A4"/>
    <w:rsid w:val="008847CC"/>
    <w:rsid w:val="00891C45"/>
    <w:rsid w:val="00891DA5"/>
    <w:rsid w:val="008928F6"/>
    <w:rsid w:val="00894F8F"/>
    <w:rsid w:val="008954C4"/>
    <w:rsid w:val="0089579B"/>
    <w:rsid w:val="008C1FCD"/>
    <w:rsid w:val="008E1184"/>
    <w:rsid w:val="008F6A87"/>
    <w:rsid w:val="008F7671"/>
    <w:rsid w:val="00900E32"/>
    <w:rsid w:val="00907C2F"/>
    <w:rsid w:val="00910DBB"/>
    <w:rsid w:val="00912E27"/>
    <w:rsid w:val="00915575"/>
    <w:rsid w:val="009164F6"/>
    <w:rsid w:val="00924D21"/>
    <w:rsid w:val="0092669F"/>
    <w:rsid w:val="00933095"/>
    <w:rsid w:val="0093535F"/>
    <w:rsid w:val="0095248A"/>
    <w:rsid w:val="00953758"/>
    <w:rsid w:val="00953BE9"/>
    <w:rsid w:val="00957151"/>
    <w:rsid w:val="00957600"/>
    <w:rsid w:val="00963A40"/>
    <w:rsid w:val="009650B7"/>
    <w:rsid w:val="00975A8E"/>
    <w:rsid w:val="00981C9F"/>
    <w:rsid w:val="009926CC"/>
    <w:rsid w:val="00992878"/>
    <w:rsid w:val="0099688F"/>
    <w:rsid w:val="00997DCC"/>
    <w:rsid w:val="009B0D6A"/>
    <w:rsid w:val="009B3A8D"/>
    <w:rsid w:val="009B67B8"/>
    <w:rsid w:val="009D5B70"/>
    <w:rsid w:val="009D6632"/>
    <w:rsid w:val="009E1157"/>
    <w:rsid w:val="009E1A4D"/>
    <w:rsid w:val="009E5BCC"/>
    <w:rsid w:val="009E610F"/>
    <w:rsid w:val="009F5CA6"/>
    <w:rsid w:val="00A00D31"/>
    <w:rsid w:val="00A073B0"/>
    <w:rsid w:val="00A11F70"/>
    <w:rsid w:val="00A156D3"/>
    <w:rsid w:val="00A16889"/>
    <w:rsid w:val="00A21FD8"/>
    <w:rsid w:val="00A23F9A"/>
    <w:rsid w:val="00A37EC4"/>
    <w:rsid w:val="00A550B3"/>
    <w:rsid w:val="00A55A5E"/>
    <w:rsid w:val="00A6047A"/>
    <w:rsid w:val="00A63FE4"/>
    <w:rsid w:val="00A64E5D"/>
    <w:rsid w:val="00A65AC5"/>
    <w:rsid w:val="00A72CEF"/>
    <w:rsid w:val="00A77C00"/>
    <w:rsid w:val="00A80462"/>
    <w:rsid w:val="00A92A4F"/>
    <w:rsid w:val="00A96092"/>
    <w:rsid w:val="00AA14CB"/>
    <w:rsid w:val="00AA2270"/>
    <w:rsid w:val="00AA37F6"/>
    <w:rsid w:val="00AA667D"/>
    <w:rsid w:val="00AC0A0D"/>
    <w:rsid w:val="00AD3E33"/>
    <w:rsid w:val="00AD47D4"/>
    <w:rsid w:val="00AD5651"/>
    <w:rsid w:val="00AE7E20"/>
    <w:rsid w:val="00AF1549"/>
    <w:rsid w:val="00AF2355"/>
    <w:rsid w:val="00B02199"/>
    <w:rsid w:val="00B02A04"/>
    <w:rsid w:val="00B10A69"/>
    <w:rsid w:val="00B12C91"/>
    <w:rsid w:val="00B142FC"/>
    <w:rsid w:val="00B1493F"/>
    <w:rsid w:val="00B14D77"/>
    <w:rsid w:val="00B30B3D"/>
    <w:rsid w:val="00B3298E"/>
    <w:rsid w:val="00B33CB7"/>
    <w:rsid w:val="00B3584B"/>
    <w:rsid w:val="00B37251"/>
    <w:rsid w:val="00B37A75"/>
    <w:rsid w:val="00B45E35"/>
    <w:rsid w:val="00B50276"/>
    <w:rsid w:val="00B528B6"/>
    <w:rsid w:val="00B558B0"/>
    <w:rsid w:val="00B561FA"/>
    <w:rsid w:val="00B637ED"/>
    <w:rsid w:val="00B67662"/>
    <w:rsid w:val="00B67835"/>
    <w:rsid w:val="00B7015D"/>
    <w:rsid w:val="00B7152E"/>
    <w:rsid w:val="00B75E47"/>
    <w:rsid w:val="00B858A1"/>
    <w:rsid w:val="00B93B58"/>
    <w:rsid w:val="00B95679"/>
    <w:rsid w:val="00BE0350"/>
    <w:rsid w:val="00BE11D4"/>
    <w:rsid w:val="00BE2C08"/>
    <w:rsid w:val="00BF4A48"/>
    <w:rsid w:val="00BF7DE1"/>
    <w:rsid w:val="00C0034E"/>
    <w:rsid w:val="00C01070"/>
    <w:rsid w:val="00C01295"/>
    <w:rsid w:val="00C02723"/>
    <w:rsid w:val="00C035CB"/>
    <w:rsid w:val="00C06753"/>
    <w:rsid w:val="00C13764"/>
    <w:rsid w:val="00C327A2"/>
    <w:rsid w:val="00C327D9"/>
    <w:rsid w:val="00C354EF"/>
    <w:rsid w:val="00C54657"/>
    <w:rsid w:val="00C55159"/>
    <w:rsid w:val="00C56A52"/>
    <w:rsid w:val="00C56EFB"/>
    <w:rsid w:val="00C61559"/>
    <w:rsid w:val="00C63533"/>
    <w:rsid w:val="00C669AD"/>
    <w:rsid w:val="00C71372"/>
    <w:rsid w:val="00C756C1"/>
    <w:rsid w:val="00C80DCC"/>
    <w:rsid w:val="00C84B6A"/>
    <w:rsid w:val="00C867AC"/>
    <w:rsid w:val="00C872F1"/>
    <w:rsid w:val="00CA062E"/>
    <w:rsid w:val="00CA1D42"/>
    <w:rsid w:val="00CA3662"/>
    <w:rsid w:val="00CA3E05"/>
    <w:rsid w:val="00CA7FE7"/>
    <w:rsid w:val="00CB1F67"/>
    <w:rsid w:val="00CB7709"/>
    <w:rsid w:val="00CD3A84"/>
    <w:rsid w:val="00CD5039"/>
    <w:rsid w:val="00CD6F7D"/>
    <w:rsid w:val="00CE1BEC"/>
    <w:rsid w:val="00CF0E7F"/>
    <w:rsid w:val="00D216FE"/>
    <w:rsid w:val="00D23019"/>
    <w:rsid w:val="00D26871"/>
    <w:rsid w:val="00D2706D"/>
    <w:rsid w:val="00D3366E"/>
    <w:rsid w:val="00D3520B"/>
    <w:rsid w:val="00D436FA"/>
    <w:rsid w:val="00D45633"/>
    <w:rsid w:val="00D52D5F"/>
    <w:rsid w:val="00D55D43"/>
    <w:rsid w:val="00D63F72"/>
    <w:rsid w:val="00D64CEE"/>
    <w:rsid w:val="00D65F36"/>
    <w:rsid w:val="00D67CFC"/>
    <w:rsid w:val="00D813B1"/>
    <w:rsid w:val="00D82BF5"/>
    <w:rsid w:val="00D90689"/>
    <w:rsid w:val="00D96B3A"/>
    <w:rsid w:val="00DA4593"/>
    <w:rsid w:val="00DB5929"/>
    <w:rsid w:val="00DC37EE"/>
    <w:rsid w:val="00DC474F"/>
    <w:rsid w:val="00DC4AEF"/>
    <w:rsid w:val="00DC4BAB"/>
    <w:rsid w:val="00DC6D83"/>
    <w:rsid w:val="00DC768D"/>
    <w:rsid w:val="00DD4354"/>
    <w:rsid w:val="00DE29B1"/>
    <w:rsid w:val="00DE7334"/>
    <w:rsid w:val="00DF101C"/>
    <w:rsid w:val="00DF31B7"/>
    <w:rsid w:val="00E108FE"/>
    <w:rsid w:val="00E1245A"/>
    <w:rsid w:val="00E15EAC"/>
    <w:rsid w:val="00E225CA"/>
    <w:rsid w:val="00E42C15"/>
    <w:rsid w:val="00E43810"/>
    <w:rsid w:val="00E47AC3"/>
    <w:rsid w:val="00E51EA2"/>
    <w:rsid w:val="00E602BD"/>
    <w:rsid w:val="00E65FB9"/>
    <w:rsid w:val="00E713E9"/>
    <w:rsid w:val="00E7662F"/>
    <w:rsid w:val="00E773FA"/>
    <w:rsid w:val="00E80FFB"/>
    <w:rsid w:val="00E82DE0"/>
    <w:rsid w:val="00E87016"/>
    <w:rsid w:val="00E95A12"/>
    <w:rsid w:val="00EA0002"/>
    <w:rsid w:val="00EA42E8"/>
    <w:rsid w:val="00EB167D"/>
    <w:rsid w:val="00EB43AF"/>
    <w:rsid w:val="00EB4919"/>
    <w:rsid w:val="00EB6A4E"/>
    <w:rsid w:val="00EC3657"/>
    <w:rsid w:val="00EC43BF"/>
    <w:rsid w:val="00ED6B4A"/>
    <w:rsid w:val="00EE54DF"/>
    <w:rsid w:val="00EF3A07"/>
    <w:rsid w:val="00EF6D0F"/>
    <w:rsid w:val="00EF702D"/>
    <w:rsid w:val="00F04AE1"/>
    <w:rsid w:val="00F04C5B"/>
    <w:rsid w:val="00F1223D"/>
    <w:rsid w:val="00F12F4E"/>
    <w:rsid w:val="00F16C02"/>
    <w:rsid w:val="00F20309"/>
    <w:rsid w:val="00F20CE0"/>
    <w:rsid w:val="00F22B52"/>
    <w:rsid w:val="00F3548F"/>
    <w:rsid w:val="00F4776A"/>
    <w:rsid w:val="00F51614"/>
    <w:rsid w:val="00F55DD7"/>
    <w:rsid w:val="00F63D41"/>
    <w:rsid w:val="00F65778"/>
    <w:rsid w:val="00F80D0C"/>
    <w:rsid w:val="00F86606"/>
    <w:rsid w:val="00F86E3C"/>
    <w:rsid w:val="00F9392B"/>
    <w:rsid w:val="00F93F80"/>
    <w:rsid w:val="00F94F4D"/>
    <w:rsid w:val="00F94F76"/>
    <w:rsid w:val="00F95172"/>
    <w:rsid w:val="00F97FAC"/>
    <w:rsid w:val="00FB6232"/>
    <w:rsid w:val="00FB6B7E"/>
    <w:rsid w:val="00FD03BA"/>
    <w:rsid w:val="00FE0EAB"/>
    <w:rsid w:val="00FE4C67"/>
    <w:rsid w:val="00FE7735"/>
    <w:rsid w:val="00FF037C"/>
    <w:rsid w:val="00FF3C3B"/>
    <w:rsid w:val="00FF5E3A"/>
    <w:rsid w:val="030376E3"/>
    <w:rsid w:val="052F7BE9"/>
    <w:rsid w:val="079D2C86"/>
    <w:rsid w:val="07E354E8"/>
    <w:rsid w:val="098B184A"/>
    <w:rsid w:val="0DB77E27"/>
    <w:rsid w:val="107E1436"/>
    <w:rsid w:val="107F16C6"/>
    <w:rsid w:val="14D70820"/>
    <w:rsid w:val="17A0779F"/>
    <w:rsid w:val="18954795"/>
    <w:rsid w:val="18AB3EEC"/>
    <w:rsid w:val="19843B7C"/>
    <w:rsid w:val="199D333E"/>
    <w:rsid w:val="1B335D6A"/>
    <w:rsid w:val="1CCB228E"/>
    <w:rsid w:val="1E0848A5"/>
    <w:rsid w:val="1E3F18D8"/>
    <w:rsid w:val="1F456344"/>
    <w:rsid w:val="219A24C7"/>
    <w:rsid w:val="233D6EE4"/>
    <w:rsid w:val="23557DEB"/>
    <w:rsid w:val="24231D8E"/>
    <w:rsid w:val="25915A0E"/>
    <w:rsid w:val="261A4D4C"/>
    <w:rsid w:val="27C33CA0"/>
    <w:rsid w:val="2A6A5A19"/>
    <w:rsid w:val="2B5108D7"/>
    <w:rsid w:val="2B7C2FDF"/>
    <w:rsid w:val="2BE66046"/>
    <w:rsid w:val="317F7BED"/>
    <w:rsid w:val="31B30842"/>
    <w:rsid w:val="3202624E"/>
    <w:rsid w:val="34377F50"/>
    <w:rsid w:val="3E25152A"/>
    <w:rsid w:val="3FFA719D"/>
    <w:rsid w:val="406C535E"/>
    <w:rsid w:val="409A1D3A"/>
    <w:rsid w:val="45011451"/>
    <w:rsid w:val="492B1DC2"/>
    <w:rsid w:val="49586F36"/>
    <w:rsid w:val="4AC23C30"/>
    <w:rsid w:val="4CA95EBA"/>
    <w:rsid w:val="4DFC6236"/>
    <w:rsid w:val="4E603579"/>
    <w:rsid w:val="51AD6F01"/>
    <w:rsid w:val="52D954E2"/>
    <w:rsid w:val="538B5D6C"/>
    <w:rsid w:val="546759DA"/>
    <w:rsid w:val="547C4E2A"/>
    <w:rsid w:val="54C67B58"/>
    <w:rsid w:val="59654E37"/>
    <w:rsid w:val="598E26AF"/>
    <w:rsid w:val="5D054434"/>
    <w:rsid w:val="5EA87FAD"/>
    <w:rsid w:val="636546D8"/>
    <w:rsid w:val="63F87992"/>
    <w:rsid w:val="64AB558A"/>
    <w:rsid w:val="66A70F46"/>
    <w:rsid w:val="66C3038A"/>
    <w:rsid w:val="6DC2661B"/>
    <w:rsid w:val="712C5A62"/>
    <w:rsid w:val="7452317D"/>
    <w:rsid w:val="753D7DC7"/>
    <w:rsid w:val="75936E93"/>
    <w:rsid w:val="760A5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4">
    <w:name w:val="heading 1"/>
    <w:basedOn w:val="1"/>
    <w:next w:val="1"/>
    <w:link w:val="25"/>
    <w:qFormat/>
    <w:uiPriority w:val="0"/>
    <w:pPr>
      <w:keepNext/>
      <w:jc w:val="center"/>
      <w:outlineLvl w:val="0"/>
    </w:pPr>
    <w:rPr>
      <w:rFonts w:ascii="Times New Roman" w:hAnsi="Times New Roman" w:cs="Times New Roman"/>
      <w:b/>
      <w:bCs/>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四级标题"/>
    <w:basedOn w:val="3"/>
    <w:qFormat/>
    <w:uiPriority w:val="0"/>
    <w:pPr>
      <w:ind w:left="99" w:leftChars="47"/>
    </w:pPr>
    <w:rPr>
      <w:rFonts w:eastAsia="黑体"/>
      <w:sz w:val="28"/>
      <w:szCs w:val="28"/>
    </w:rPr>
  </w:style>
  <w:style w:type="paragraph" w:styleId="3">
    <w:name w:val="Date"/>
    <w:basedOn w:val="1"/>
    <w:next w:val="1"/>
    <w:qFormat/>
    <w:uiPriority w:val="0"/>
    <w:pPr>
      <w:ind w:left="100" w:leftChars="2500"/>
    </w:pPr>
  </w:style>
  <w:style w:type="paragraph" w:styleId="5">
    <w:name w:val="Normal Indent"/>
    <w:basedOn w:val="1"/>
    <w:qFormat/>
    <w:uiPriority w:val="0"/>
    <w:pPr>
      <w:ind w:firstLine="420"/>
    </w:pPr>
    <w:rPr>
      <w:rFonts w:ascii="Times New Roman" w:hAnsi="Times New Roman" w:cs="Times New Roman"/>
      <w:szCs w:val="20"/>
    </w:rPr>
  </w:style>
  <w:style w:type="paragraph" w:styleId="6">
    <w:name w:val="Body Text"/>
    <w:basedOn w:val="1"/>
    <w:link w:val="33"/>
    <w:semiHidden/>
    <w:unhideWhenUsed/>
    <w:qFormat/>
    <w:uiPriority w:val="0"/>
    <w:pPr>
      <w:spacing w:after="120"/>
    </w:pPr>
  </w:style>
  <w:style w:type="paragraph" w:styleId="7">
    <w:name w:val="Body Text Indent"/>
    <w:basedOn w:val="1"/>
    <w:link w:val="31"/>
    <w:qFormat/>
    <w:uiPriority w:val="0"/>
    <w:pPr>
      <w:ind w:left="359" w:leftChars="171"/>
    </w:pPr>
    <w:rPr>
      <w:rFonts w:eastAsiaTheme="minorEastAsia"/>
      <w:sz w:val="24"/>
      <w:szCs w:val="20"/>
    </w:rPr>
  </w:style>
  <w:style w:type="paragraph" w:styleId="8">
    <w:name w:val="Plain Text"/>
    <w:basedOn w:val="1"/>
    <w:next w:val="1"/>
    <w:link w:val="35"/>
    <w:qFormat/>
    <w:uiPriority w:val="0"/>
    <w:pPr>
      <w:autoSpaceDE w:val="0"/>
      <w:autoSpaceDN w:val="0"/>
      <w:jc w:val="left"/>
    </w:pPr>
    <w:rPr>
      <w:rFonts w:ascii="宋体" w:hAnsi="Courier New" w:cs="Courier New"/>
      <w:kern w:val="0"/>
      <w:sz w:val="22"/>
      <w:szCs w:val="22"/>
      <w:lang w:eastAsia="en-US"/>
    </w:rPr>
  </w:style>
  <w:style w:type="paragraph" w:styleId="9">
    <w:name w:val="Balloon Text"/>
    <w:basedOn w:val="1"/>
    <w:link w:val="23"/>
    <w:qFormat/>
    <w:uiPriority w:val="0"/>
    <w:rPr>
      <w:sz w:val="18"/>
      <w:szCs w:val="18"/>
    </w:rPr>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3">
    <w:name w:val="Body Text First Indent"/>
    <w:basedOn w:val="6"/>
    <w:link w:val="34"/>
    <w:unhideWhenUsed/>
    <w:qFormat/>
    <w:uiPriority w:val="0"/>
    <w:pPr>
      <w:ind w:firstLine="420" w:firstLineChars="100"/>
    </w:pPr>
  </w:style>
  <w:style w:type="table" w:styleId="15">
    <w:name w:val="Table Grid"/>
    <w:basedOn w:val="14"/>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7">
    <w:name w:val="Strong"/>
    <w:qFormat/>
    <w:uiPriority w:val="0"/>
    <w:rPr>
      <w:b/>
      <w:bCs/>
    </w:rPr>
  </w:style>
  <w:style w:type="character" w:styleId="18">
    <w:name w:val="page number"/>
    <w:basedOn w:val="16"/>
    <w:qFormat/>
    <w:uiPriority w:val="0"/>
  </w:style>
  <w:style w:type="character" w:styleId="19">
    <w:name w:val="Hyperlink"/>
    <w:basedOn w:val="16"/>
    <w:semiHidden/>
    <w:unhideWhenUsed/>
    <w:qFormat/>
    <w:uiPriority w:val="0"/>
    <w:rPr>
      <w:color w:val="0000FF"/>
      <w:u w:val="single"/>
    </w:rPr>
  </w:style>
  <w:style w:type="character" w:customStyle="1" w:styleId="20">
    <w:name w:val="页眉 Char"/>
    <w:basedOn w:val="16"/>
    <w:link w:val="11"/>
    <w:qFormat/>
    <w:uiPriority w:val="0"/>
    <w:rPr>
      <w:rFonts w:eastAsia="宋体"/>
      <w:kern w:val="2"/>
      <w:sz w:val="18"/>
      <w:szCs w:val="18"/>
    </w:rPr>
  </w:style>
  <w:style w:type="character" w:customStyle="1" w:styleId="21">
    <w:name w:val="页脚 Char"/>
    <w:basedOn w:val="16"/>
    <w:link w:val="10"/>
    <w:qFormat/>
    <w:uiPriority w:val="99"/>
    <w:rPr>
      <w:rFonts w:eastAsia="宋体"/>
      <w:kern w:val="2"/>
      <w:sz w:val="18"/>
      <w:szCs w:val="18"/>
    </w:rPr>
  </w:style>
  <w:style w:type="paragraph" w:styleId="22">
    <w:name w:val="List Paragraph"/>
    <w:basedOn w:val="1"/>
    <w:qFormat/>
    <w:uiPriority w:val="34"/>
    <w:pPr>
      <w:ind w:firstLine="420" w:firstLineChars="200"/>
    </w:pPr>
  </w:style>
  <w:style w:type="character" w:customStyle="1" w:styleId="23">
    <w:name w:val="批注框文本 Char"/>
    <w:basedOn w:val="16"/>
    <w:link w:val="9"/>
    <w:qFormat/>
    <w:uiPriority w:val="0"/>
    <w:rPr>
      <w:rFonts w:eastAsia="宋体"/>
      <w:kern w:val="2"/>
      <w:sz w:val="18"/>
      <w:szCs w:val="18"/>
    </w:rPr>
  </w:style>
  <w:style w:type="character" w:customStyle="1" w:styleId="24">
    <w:name w:val="标题 1 Char"/>
    <w:basedOn w:val="16"/>
    <w:uiPriority w:val="0"/>
    <w:rPr>
      <w:rFonts w:eastAsia="宋体"/>
      <w:b/>
      <w:bCs/>
      <w:kern w:val="44"/>
      <w:sz w:val="44"/>
      <w:szCs w:val="44"/>
    </w:rPr>
  </w:style>
  <w:style w:type="character" w:customStyle="1" w:styleId="25">
    <w:name w:val="标题 1 Char1"/>
    <w:link w:val="4"/>
    <w:qFormat/>
    <w:uiPriority w:val="0"/>
    <w:rPr>
      <w:rFonts w:ascii="Times New Roman" w:hAnsi="Times New Roman" w:eastAsia="宋体" w:cs="Times New Roman"/>
      <w:b/>
      <w:bCs/>
      <w:kern w:val="2"/>
      <w:sz w:val="28"/>
      <w:szCs w:val="24"/>
    </w:rPr>
  </w:style>
  <w:style w:type="character" w:customStyle="1" w:styleId="26">
    <w:name w:val="页脚 字符"/>
    <w:qFormat/>
    <w:uiPriority w:val="0"/>
    <w:rPr>
      <w:kern w:val="2"/>
      <w:sz w:val="18"/>
      <w:szCs w:val="18"/>
    </w:rPr>
  </w:style>
  <w:style w:type="character" w:customStyle="1" w:styleId="27">
    <w:name w:val="页眉 字符"/>
    <w:qFormat/>
    <w:uiPriority w:val="0"/>
    <w:rPr>
      <w:kern w:val="2"/>
      <w:sz w:val="18"/>
      <w:szCs w:val="18"/>
    </w:rPr>
  </w:style>
  <w:style w:type="character" w:customStyle="1" w:styleId="28">
    <w:name w:val="正文文本缩进 Char1"/>
    <w:qFormat/>
    <w:uiPriority w:val="0"/>
    <w:rPr>
      <w:kern w:val="2"/>
      <w:sz w:val="24"/>
    </w:rPr>
  </w:style>
  <w:style w:type="character" w:customStyle="1" w:styleId="29">
    <w:name w:val="批注框文本 字符"/>
    <w:qFormat/>
    <w:uiPriority w:val="0"/>
    <w:rPr>
      <w:kern w:val="2"/>
      <w:sz w:val="18"/>
      <w:szCs w:val="18"/>
    </w:rPr>
  </w:style>
  <w:style w:type="paragraph" w:customStyle="1" w:styleId="30">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31">
    <w:name w:val="正文文本缩进 Char"/>
    <w:basedOn w:val="16"/>
    <w:link w:val="7"/>
    <w:semiHidden/>
    <w:qFormat/>
    <w:uiPriority w:val="0"/>
    <w:rPr>
      <w:rFonts w:eastAsia="宋体"/>
      <w:kern w:val="2"/>
      <w:sz w:val="21"/>
      <w:szCs w:val="24"/>
    </w:rPr>
  </w:style>
  <w:style w:type="paragraph" w:customStyle="1" w:styleId="32">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3">
    <w:name w:val="正文文本 Char"/>
    <w:basedOn w:val="16"/>
    <w:link w:val="6"/>
    <w:semiHidden/>
    <w:qFormat/>
    <w:uiPriority w:val="0"/>
    <w:rPr>
      <w:rFonts w:eastAsia="宋体"/>
      <w:kern w:val="2"/>
      <w:sz w:val="21"/>
      <w:szCs w:val="24"/>
    </w:rPr>
  </w:style>
  <w:style w:type="character" w:customStyle="1" w:styleId="34">
    <w:name w:val="正文首行缩进 Char"/>
    <w:basedOn w:val="33"/>
    <w:link w:val="13"/>
    <w:qFormat/>
    <w:uiPriority w:val="0"/>
    <w:rPr>
      <w:rFonts w:eastAsia="宋体"/>
      <w:kern w:val="2"/>
      <w:sz w:val="21"/>
      <w:szCs w:val="24"/>
    </w:rPr>
  </w:style>
  <w:style w:type="character" w:customStyle="1" w:styleId="35">
    <w:name w:val="纯文本 Char"/>
    <w:basedOn w:val="16"/>
    <w:link w:val="8"/>
    <w:qFormat/>
    <w:uiPriority w:val="0"/>
    <w:rPr>
      <w:rFonts w:ascii="宋体" w:hAnsi="Courier New" w:eastAsia="宋体" w:cs="Courier New"/>
      <w:sz w:val="22"/>
      <w:szCs w:val="22"/>
      <w:lang w:eastAsia="en-US"/>
    </w:rPr>
  </w:style>
  <w:style w:type="character" w:customStyle="1" w:styleId="36">
    <w:name w:val="fontstyle01"/>
    <w:basedOn w:val="16"/>
    <w:qFormat/>
    <w:uiPriority w:val="0"/>
    <w:rPr>
      <w:rFonts w:hint="default" w:ascii="TimesNewRomanPSMT" w:hAnsi="TimesNewRomanPSMT"/>
      <w:color w:val="000000"/>
      <w:sz w:val="24"/>
      <w:szCs w:val="24"/>
    </w:rPr>
  </w:style>
  <w:style w:type="character" w:customStyle="1" w:styleId="37">
    <w:name w:val="fontstyle21"/>
    <w:basedOn w:val="16"/>
    <w:qFormat/>
    <w:uiPriority w:val="0"/>
    <w:rPr>
      <w:rFonts w:hint="eastAsia" w:ascii="宋体" w:hAnsi="宋体" w:eastAsia="宋体"/>
      <w:color w:val="000000"/>
      <w:sz w:val="24"/>
      <w:szCs w:val="24"/>
    </w:rPr>
  </w:style>
  <w:style w:type="character" w:customStyle="1" w:styleId="38">
    <w:name w:val="fontstyle31"/>
    <w:basedOn w:val="16"/>
    <w:qFormat/>
    <w:uiPriority w:val="0"/>
    <w:rPr>
      <w:rFonts w:hint="default" w:ascii="Wingdings-Regular" w:hAnsi="Wingdings-Regular"/>
      <w:color w:val="000000"/>
      <w:sz w:val="24"/>
      <w:szCs w:val="24"/>
    </w:rPr>
  </w:style>
  <w:style w:type="paragraph" w:customStyle="1" w:styleId="39">
    <w:name w:val="Table Paragraph"/>
    <w:basedOn w:val="1"/>
    <w:qFormat/>
    <w:uiPriority w:val="1"/>
    <w:pPr>
      <w:ind w:left="107"/>
    </w:pPr>
    <w:rPr>
      <w:rFonts w:ascii="宋体" w:hAnsi="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747</Words>
  <Characters>4263</Characters>
  <Lines>35</Lines>
  <Paragraphs>9</Paragraphs>
  <TotalTime>337</TotalTime>
  <ScaleCrop>false</ScaleCrop>
  <LinksUpToDate>false</LinksUpToDate>
  <CharactersWithSpaces>5001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吾谁与归</cp:lastModifiedBy>
  <cp:lastPrinted>2025-04-23T03:17:00Z</cp:lastPrinted>
  <dcterms:modified xsi:type="dcterms:W3CDTF">2025-07-14T08:52:33Z</dcterms:modified>
  <cp:revision>278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BD298B9C89834472BF9D9D6589FC4B70_13</vt:lpwstr>
  </property>
  <property fmtid="{D5CDD505-2E9C-101B-9397-08002B2CF9AE}" pid="4" name="KSOTemplateDocerSaveRecord">
    <vt:lpwstr>eyJoZGlkIjoiMDI4OTYyNDBlN2RmMGRiNThjZTFhZTgyNjVmNDdkMDYiLCJ1c2VySWQiOiIxMTUyMzk4NzY2In0=</vt:lpwstr>
  </property>
</Properties>
</file>