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r>
        <w:rPr>
          <w:rFonts w:hint="eastAsia"/>
        </w:rPr>
        <w:t xml:space="preserve">                       《</w:t>
      </w:r>
      <w:r>
        <w:rPr>
          <w:rFonts w:hint="eastAsia"/>
          <w:bCs/>
        </w:rPr>
        <w:t>招标文</w:t>
      </w:r>
      <w:r>
        <w:rPr>
          <w:rFonts w:hint="eastAsia" w:ascii="宋体"/>
          <w:bCs/>
        </w:rPr>
        <w:t>件</w:t>
      </w:r>
      <w:r>
        <w:rPr>
          <w:rFonts w:hint="eastAsia"/>
        </w:rPr>
        <w:t>》</w:t>
      </w:r>
    </w:p>
    <w:p/>
    <w:p/>
    <w:p>
      <w:r>
        <w:rPr>
          <w:rFonts w:hint="eastAsia"/>
        </w:rPr>
        <w:t xml:space="preserve">                  </w:t>
      </w:r>
      <w:r>
        <w:rPr>
          <w:rFonts w:hint="eastAsia"/>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2" cstate="print"/>
                    <a:stretch>
                      <a:fillRect/>
                    </a:stretch>
                  </pic:blipFill>
                  <pic:spPr>
                    <a:xfrm>
                      <a:off x="0" y="0"/>
                      <a:ext cx="2334260" cy="2248535"/>
                    </a:xfrm>
                    <a:prstGeom prst="rect">
                      <a:avLst/>
                    </a:prstGeom>
                  </pic:spPr>
                </pic:pic>
              </a:graphicData>
            </a:graphic>
          </wp:inline>
        </w:drawing>
      </w:r>
    </w:p>
    <w:p/>
    <w:p>
      <w:r>
        <w:rPr>
          <w:rFonts w:hint="eastAsia"/>
        </w:rPr>
        <w:t xml:space="preserve">        项目名称：7</w:t>
      </w:r>
      <w:r>
        <w:t>000</w:t>
      </w:r>
      <w:r>
        <w:rPr>
          <w:rFonts w:hint="eastAsia"/>
        </w:rPr>
        <w:t>吨H</w:t>
      </w:r>
      <w:r>
        <w:t>VLP</w:t>
      </w:r>
      <w:r>
        <w:rPr>
          <w:rFonts w:hint="eastAsia"/>
        </w:rPr>
        <w:t>铜箔项目水（污）处理改造</w:t>
      </w:r>
    </w:p>
    <w:p>
      <w:r>
        <w:rPr>
          <w:rFonts w:hint="eastAsia"/>
        </w:rPr>
        <w:t xml:space="preserve">         招标单位：山东金宝电子有限公司</w:t>
      </w:r>
    </w:p>
    <w:p>
      <w:pPr>
        <w:rPr>
          <w:u w:val="single"/>
        </w:rPr>
      </w:pPr>
    </w:p>
    <w:p/>
    <w:p/>
    <w:p>
      <w:r>
        <w:rPr>
          <w:rFonts w:hint="eastAsia"/>
        </w:rPr>
        <w:t xml:space="preserve">                    2024年1月1</w:t>
      </w:r>
      <w:r>
        <w:t>8</w:t>
      </w:r>
      <w:r>
        <w:rPr>
          <w:rFonts w:hint="eastAsia"/>
        </w:rPr>
        <w:t>日</w:t>
      </w:r>
    </w:p>
    <w:p>
      <w:pPr>
        <w:jc w:val="center"/>
        <w:rPr>
          <w:rFonts w:ascii="宋体" w:hAnsi="宋体"/>
          <w:b/>
          <w:bCs/>
        </w:rPr>
      </w:pPr>
      <w:r>
        <w:br w:type="page"/>
      </w:r>
      <w:r>
        <w:rPr>
          <w:rFonts w:hint="eastAsia" w:ascii="宋体" w:hAnsi="宋体"/>
          <w:b/>
          <w:bCs/>
          <w:sz w:val="44"/>
          <w:szCs w:val="44"/>
        </w:rPr>
        <w:t>招标文件</w:t>
      </w:r>
    </w:p>
    <w:p/>
    <w:p>
      <w:r>
        <w:rPr>
          <w:rFonts w:hint="eastAsia"/>
        </w:rPr>
        <w:t>山东金宝电子有限公司就7000吨高频高速HVLP铜箔项目配套的</w:t>
      </w:r>
      <w:r>
        <w:rPr>
          <w:rFonts w:hint="eastAsia"/>
          <w:u w:val="single"/>
        </w:rPr>
        <w:t>“水（污）处理改造项目”</w:t>
      </w:r>
      <w:r>
        <w:rPr>
          <w:rFonts w:hint="eastAsia"/>
        </w:rPr>
        <w:t>现进行招标采购，我公司本着公平、公正、公开的原则，真诚邀请具有相关资质及履约能力的供应商参加投标，具体事项如下：</w:t>
      </w:r>
    </w:p>
    <w:p>
      <w:pPr>
        <w:pStyle w:val="24"/>
        <w:numPr>
          <w:ilvl w:val="0"/>
          <w:numId w:val="2"/>
        </w:numPr>
      </w:pPr>
      <w:r>
        <w:rPr>
          <w:rFonts w:hint="eastAsia"/>
          <w:b/>
          <w:bCs/>
        </w:rPr>
        <w:t>招标人：</w:t>
      </w:r>
      <w:r>
        <w:rPr>
          <w:rFonts w:hint="eastAsia"/>
        </w:rPr>
        <w:t>山东金宝电子有限公司</w:t>
      </w:r>
    </w:p>
    <w:p>
      <w:pPr>
        <w:pStyle w:val="24"/>
        <w:numPr>
          <w:ilvl w:val="0"/>
          <w:numId w:val="3"/>
        </w:numPr>
        <w:rPr>
          <w:rFonts w:hAnsiTheme="minorHAnsi"/>
          <w:b/>
        </w:rPr>
      </w:pPr>
      <w:r>
        <w:rPr>
          <w:rFonts w:hint="eastAsia"/>
          <w:b/>
          <w:bCs/>
        </w:rPr>
        <w:t>项目名称：</w:t>
      </w:r>
      <w:r>
        <w:rPr>
          <w:rFonts w:hint="eastAsia"/>
        </w:rPr>
        <w:t>水（污）处理改造项目</w:t>
      </w:r>
    </w:p>
    <w:p>
      <w:r>
        <w:rPr>
          <w:rFonts w:hint="eastAsia"/>
        </w:rPr>
        <w:t>三、投标时间：</w:t>
      </w:r>
    </w:p>
    <w:p>
      <w:pPr>
        <w:rPr>
          <w:rFonts w:hint="default" w:eastAsia="仿宋"/>
          <w:lang w:val="en-US" w:eastAsia="zh-CN"/>
        </w:rPr>
      </w:pPr>
      <w:r>
        <w:rPr>
          <w:rFonts w:hint="eastAsia"/>
        </w:rPr>
        <w:t>技术投标时间：</w:t>
      </w:r>
      <w:r>
        <w:rPr>
          <w:rFonts w:hint="eastAsia"/>
          <w:lang w:val="en-US" w:eastAsia="zh-CN"/>
        </w:rPr>
        <w:t>2024.1.23-1.25</w:t>
      </w:r>
    </w:p>
    <w:p>
      <w:pPr>
        <w:rPr>
          <w:rFonts w:hint="default" w:eastAsia="仿宋"/>
          <w:bCs/>
          <w:lang w:val="en-US" w:eastAsia="zh-CN"/>
        </w:rPr>
      </w:pPr>
      <w:r>
        <w:rPr>
          <w:rFonts w:hint="eastAsia"/>
        </w:rPr>
        <w:t>商务投标时间：</w:t>
      </w:r>
      <w:r>
        <w:rPr>
          <w:rFonts w:hint="eastAsia"/>
          <w:lang w:val="en-US" w:eastAsia="zh-CN"/>
        </w:rPr>
        <w:t>2024.1.26-1.29</w:t>
      </w:r>
    </w:p>
    <w:p>
      <w:r>
        <w:rPr>
          <w:rFonts w:hint="eastAsia"/>
        </w:rPr>
        <w:t>四、技术联系人：邱会庆</w:t>
      </w:r>
      <w:r>
        <w:rPr>
          <w:rFonts w:hint="eastAsia"/>
          <w:lang w:val="en-US" w:eastAsia="zh-CN"/>
        </w:rPr>
        <w:t xml:space="preserve">     </w:t>
      </w:r>
      <w:r>
        <w:rPr>
          <w:rFonts w:hint="eastAsia"/>
        </w:rPr>
        <w:t>13</w:t>
      </w:r>
      <w:r>
        <w:t>553126063</w:t>
      </w:r>
    </w:p>
    <w:p>
      <w:pPr>
        <w:rPr>
          <w:rFonts w:cs="仿宋"/>
        </w:rPr>
      </w:pPr>
      <w:r>
        <w:rPr>
          <w:rFonts w:hint="eastAsia"/>
        </w:rPr>
        <w:t>邮箱：jinbaosheb@chinajinbao.com</w:t>
      </w:r>
    </w:p>
    <w:p>
      <w:pPr>
        <w:pStyle w:val="24"/>
        <w:numPr>
          <w:ilvl w:val="0"/>
          <w:numId w:val="4"/>
        </w:numPr>
      </w:pPr>
      <w:r>
        <w:rPr>
          <w:rFonts w:hint="eastAsia"/>
        </w:rPr>
        <w:t>商务联系人：</w:t>
      </w:r>
      <w:r>
        <w:rPr>
          <w:rFonts w:hint="eastAsia"/>
          <w:lang w:eastAsia="zh-CN"/>
        </w:rPr>
        <w:t>方秀芹</w:t>
      </w:r>
      <w:r>
        <w:rPr>
          <w:rFonts w:hint="eastAsia"/>
          <w:lang w:val="en-US" w:eastAsia="zh-CN"/>
        </w:rPr>
        <w:t>13791289647</w:t>
      </w:r>
    </w:p>
    <w:p>
      <w:pPr>
        <w:pStyle w:val="24"/>
        <w:numPr>
          <w:ilvl w:val="0"/>
          <w:numId w:val="4"/>
        </w:numPr>
      </w:pPr>
      <w:r>
        <w:rPr>
          <w:rFonts w:hint="eastAsia"/>
        </w:rPr>
        <w:t>投标地点：</w:t>
      </w:r>
      <w:r>
        <w:rPr>
          <w:rFonts w:hint="eastAsia"/>
          <w:lang w:eastAsia="zh-CN"/>
        </w:rPr>
        <w:t>山东省招远市国大路</w:t>
      </w:r>
      <w:r>
        <w:rPr>
          <w:rFonts w:hint="eastAsia"/>
          <w:lang w:val="en-US" w:eastAsia="zh-CN"/>
        </w:rPr>
        <w:t>2</w:t>
      </w:r>
      <w:bookmarkStart w:id="0" w:name="_GoBack"/>
      <w:bookmarkEnd w:id="0"/>
      <w:r>
        <w:rPr>
          <w:rFonts w:hint="eastAsia"/>
          <w:lang w:val="en-US" w:eastAsia="zh-CN"/>
        </w:rPr>
        <w:t>68号</w:t>
      </w:r>
    </w:p>
    <w:p>
      <w:pPr>
        <w:pStyle w:val="24"/>
        <w:numPr>
          <w:ilvl w:val="0"/>
          <w:numId w:val="4"/>
        </w:numPr>
      </w:pPr>
      <w:r>
        <w:rPr>
          <w:rFonts w:hint="eastAsia"/>
        </w:rPr>
        <w:t>七、邮编：265400</w:t>
      </w:r>
    </w:p>
    <w:p>
      <w:r>
        <w:rPr>
          <w:rFonts w:hint="eastAsia"/>
        </w:rPr>
        <w:t>八、投标保证金：</w:t>
      </w:r>
      <w:r>
        <w:rPr>
          <w:rFonts w:hint="eastAsia"/>
          <w:lang w:val="en-US" w:eastAsia="zh-CN"/>
        </w:rPr>
        <w:t>10000</w:t>
      </w:r>
      <w:r>
        <w:rPr>
          <w:rFonts w:hint="eastAsia"/>
        </w:rPr>
        <w:t>元</w:t>
      </w:r>
    </w:p>
    <w:p>
      <w:r>
        <w:rPr>
          <w:rFonts w:hint="eastAsia"/>
        </w:rPr>
        <w:t>汇款资料：</w:t>
      </w:r>
    </w:p>
    <w:p>
      <w:r>
        <w:rPr>
          <w:rFonts w:hint="eastAsia"/>
        </w:rPr>
        <w:t>单位名称：山东金宝电子有限公司</w:t>
      </w:r>
    </w:p>
    <w:p>
      <w:r>
        <w:rPr>
          <w:rFonts w:hint="eastAsia"/>
        </w:rPr>
        <w:t>帐号：5000 6473 3510 017</w:t>
      </w:r>
    </w:p>
    <w:p>
      <w:r>
        <w:rPr>
          <w:rFonts w:hint="eastAsia"/>
        </w:rPr>
        <w:t>开户行：恒丰银行招远支行</w:t>
      </w:r>
    </w:p>
    <w:p/>
    <w:p/>
    <w:p/>
    <w:p/>
    <w:p>
      <w:r>
        <w:rPr>
          <w:rFonts w:hint="eastAsia"/>
        </w:rPr>
        <w:t>投标保证金，在竞标结束后，无息返还。中标方投标保证金，在签订合同后，无息返还；中标方放弃中标权利，投标保证金将不予以返还。未缴纳投标保证金的，一律不能参与开标。</w:t>
      </w:r>
    </w:p>
    <w:p>
      <w:r>
        <w:rPr>
          <w:rFonts w:hint="eastAsia"/>
        </w:rPr>
        <w:t>开标需要先进行技术投标，确定技术方案，再进行商务投标，未确定技术方案的商务投标，开标时一律作废。</w:t>
      </w:r>
    </w:p>
    <w:p>
      <w:r>
        <w:rPr>
          <w:rFonts w:hint="eastAsia"/>
        </w:rPr>
        <w:t>技术投标需要将技术方案以邮件的形式发送到我公司技术联系人的邮箱中（联系人：</w:t>
      </w:r>
      <w:r>
        <w:rPr>
          <w:rFonts w:hint="eastAsia"/>
          <w:lang w:eastAsia="zh-CN"/>
        </w:rPr>
        <w:t>邱会庆</w:t>
      </w:r>
      <w:r>
        <w:rPr>
          <w:rFonts w:hint="eastAsia"/>
        </w:rPr>
        <w:t>）；商务投标可以将标书邮寄或直接送达商务投标地点</w:t>
      </w:r>
      <w:r>
        <w:rPr>
          <w:rFonts w:hint="eastAsia"/>
          <w:lang w:eastAsia="zh-CN"/>
        </w:rPr>
        <w:t>或发送至指定邮箱</w:t>
      </w:r>
      <w:r>
        <w:rPr>
          <w:rFonts w:hint="eastAsia"/>
          <w:color w:val="0000FF"/>
          <w:lang w:val="en-US" w:eastAsia="zh-CN"/>
        </w:rPr>
        <w:t>jinbaocgzb@chinajinbao.com</w:t>
      </w:r>
      <w:r>
        <w:rPr>
          <w:rFonts w:hint="eastAsia"/>
          <w:color w:val="0000FF"/>
        </w:rPr>
        <w:t>（</w:t>
      </w:r>
      <w:r>
        <w:rPr>
          <w:rFonts w:hint="eastAsia"/>
        </w:rPr>
        <w:t>联系人：</w:t>
      </w:r>
      <w:r>
        <w:rPr>
          <w:rFonts w:hint="eastAsia"/>
          <w:lang w:eastAsia="zh-CN"/>
        </w:rPr>
        <w:t>方秀芹</w:t>
      </w:r>
      <w:r>
        <w:rPr>
          <w:rFonts w:hint="eastAsia"/>
        </w:rPr>
        <w:t>），标书务必要密封。</w:t>
      </w:r>
    </w:p>
    <w:p>
      <w:pPr>
        <w:jc w:val="center"/>
        <w:rPr>
          <w:b/>
          <w:bCs/>
        </w:rPr>
      </w:pPr>
      <w:r>
        <w:rPr>
          <w:rFonts w:hint="eastAsia"/>
          <w:b/>
          <w:bCs/>
        </w:rPr>
        <w:t>第一部分投标须知</w:t>
      </w:r>
    </w:p>
    <w:p>
      <w:pPr>
        <w:pStyle w:val="24"/>
        <w:numPr>
          <w:ilvl w:val="0"/>
          <w:numId w:val="5"/>
        </w:numPr>
      </w:pPr>
      <w:r>
        <w:rPr>
          <w:rFonts w:hint="eastAsia"/>
        </w:rPr>
        <w:t>投标要求</w:t>
      </w:r>
    </w:p>
    <w:p>
      <w:r>
        <w:rPr>
          <w:rFonts w:hint="eastAsia"/>
        </w:rPr>
        <w:t>1、投标人应根据招标人提供的项目需求设计整体解决方案，制定项目配置及实施方案，进行分项报价，并提供方案说明及服务承诺。</w:t>
      </w:r>
    </w:p>
    <w:p>
      <w:r>
        <w:rPr>
          <w:rFonts w:hint="eastAsia"/>
        </w:rPr>
        <w:t>2、投标人应按照招标文件的要求提供完整、准确的投标文件，保证所指定的解决方案满足招标人所提出的项目全部要求，并对所有资料的真实性承担法律责任。</w:t>
      </w:r>
    </w:p>
    <w:p>
      <w:r>
        <w:rPr>
          <w:rFonts w:hint="eastAsia"/>
        </w:rPr>
        <w:t>3、招标人保留与投标人的报价进行商务谈判的权利，同时保留对投标人的客户进行咨询（不涉及商业机密内容）的权利。</w:t>
      </w:r>
    </w:p>
    <w:p>
      <w:r>
        <w:rPr>
          <w:rFonts w:hint="eastAsia"/>
        </w:rPr>
        <w:t>4、在参与本次招标过程中出现以下情况或行为，将取消其投标资格且不予返还投标保证金：</w:t>
      </w:r>
    </w:p>
    <w:p>
      <w:r>
        <w:rPr>
          <w:rFonts w:hint="eastAsia"/>
        </w:rPr>
        <w:t>①采取弄虚作假的方式，提供虚假的信息或资料；</w:t>
      </w:r>
    </w:p>
    <w:p>
      <w:r>
        <w:rPr>
          <w:rFonts w:hint="eastAsia"/>
        </w:rPr>
        <w:t>②存在不正当竞争，如：串标、陪标现象；</w:t>
      </w:r>
    </w:p>
    <w:p>
      <w:r>
        <w:rPr>
          <w:rFonts w:hint="eastAsia" w:hAnsi="仿宋_GB2312" w:cs="仿宋_GB2312"/>
        </w:rPr>
        <w:t>③</w:t>
      </w:r>
      <w:r>
        <w:rPr>
          <w:rFonts w:hint="eastAsia"/>
        </w:rPr>
        <w:t>存在贿赂、威胁、利诱等行为，妄图影响招标的真实性、公正性；（该行为将被记录在案，永久性取消投标资格。）</w:t>
      </w:r>
    </w:p>
    <w:p>
      <w:pPr>
        <w:pStyle w:val="24"/>
        <w:numPr>
          <w:ilvl w:val="0"/>
          <w:numId w:val="5"/>
        </w:numPr>
      </w:pPr>
      <w:r>
        <w:rPr>
          <w:rFonts w:hint="eastAsia"/>
        </w:rPr>
        <w:t>投标无效</w:t>
      </w:r>
    </w:p>
    <w:p>
      <w:r>
        <w:rPr>
          <w:rFonts w:hint="eastAsia"/>
        </w:rPr>
        <w:t>有以下情形的投标文件，视为无效：</w:t>
      </w:r>
    </w:p>
    <w:p>
      <w:pPr>
        <w:pStyle w:val="24"/>
        <w:numPr>
          <w:ilvl w:val="0"/>
          <w:numId w:val="6"/>
        </w:numPr>
      </w:pPr>
      <w:r>
        <w:rPr>
          <w:rFonts w:hint="eastAsia"/>
        </w:rPr>
        <w:t>逾期未送达投标文件的；</w:t>
      </w:r>
    </w:p>
    <w:p>
      <w:pPr>
        <w:pStyle w:val="24"/>
        <w:numPr>
          <w:ilvl w:val="0"/>
          <w:numId w:val="6"/>
        </w:numPr>
      </w:pPr>
      <w:r>
        <w:rPr>
          <w:rFonts w:hint="eastAsia"/>
        </w:rPr>
        <w:t>未按规定递交密封投标文件的；</w:t>
      </w:r>
    </w:p>
    <w:p>
      <w:pPr>
        <w:pStyle w:val="24"/>
        <w:numPr>
          <w:ilvl w:val="0"/>
          <w:numId w:val="6"/>
        </w:numPr>
      </w:pPr>
      <w:r>
        <w:rPr>
          <w:rFonts w:hint="eastAsia"/>
        </w:rPr>
        <w:t>投标文件的编制、内容与招标文件存在明显差异或不符的；</w:t>
      </w:r>
    </w:p>
    <w:p>
      <w:pPr>
        <w:pStyle w:val="24"/>
        <w:numPr>
          <w:ilvl w:val="0"/>
          <w:numId w:val="6"/>
        </w:numPr>
      </w:pPr>
      <w:r>
        <w:rPr>
          <w:rFonts w:hint="eastAsia"/>
        </w:rPr>
        <w:t>未加盖公章或无授权委托书的；</w:t>
      </w:r>
    </w:p>
    <w:p>
      <w:r>
        <w:rPr>
          <w:rFonts w:hint="eastAsia"/>
        </w:rPr>
        <w:t>三、投标文件的构成</w:t>
      </w:r>
    </w:p>
    <w:p>
      <w:r>
        <w:rPr>
          <w:rFonts w:hint="eastAsia"/>
        </w:rPr>
        <w:t>1、资质文件；</w:t>
      </w:r>
    </w:p>
    <w:p>
      <w:r>
        <w:rPr>
          <w:rFonts w:hint="eastAsia"/>
        </w:rPr>
        <w:t>①营业执照</w:t>
      </w:r>
    </w:p>
    <w:p>
      <w:r>
        <w:rPr>
          <w:rFonts w:hint="eastAsia"/>
        </w:rPr>
        <w:t>②授权委托书</w:t>
      </w:r>
    </w:p>
    <w:p>
      <w:r>
        <w:rPr>
          <w:rFonts w:hint="eastAsia"/>
        </w:rPr>
        <w:t>③企业资质及行业认证文件资料</w:t>
      </w:r>
    </w:p>
    <w:p>
      <w:r>
        <w:rPr>
          <w:rFonts w:hint="eastAsia"/>
        </w:rPr>
        <w:t>④产品专利</w:t>
      </w:r>
    </w:p>
    <w:p>
      <w:pPr>
        <w:pStyle w:val="24"/>
        <w:numPr>
          <w:ilvl w:val="0"/>
          <w:numId w:val="7"/>
        </w:numPr>
      </w:pPr>
      <w:r>
        <w:rPr>
          <w:rFonts w:hint="eastAsia"/>
        </w:rPr>
        <w:t>项目</w:t>
      </w:r>
      <w:r>
        <w:rPr>
          <w:rFonts w:hint="eastAsia"/>
          <w:b/>
        </w:rPr>
        <w:t>实施案例</w:t>
      </w:r>
      <w:r>
        <w:rPr>
          <w:rFonts w:hint="eastAsia"/>
        </w:rPr>
        <w:t>及相关资料；</w:t>
      </w:r>
    </w:p>
    <w:p>
      <w:pPr>
        <w:pStyle w:val="24"/>
        <w:numPr>
          <w:ilvl w:val="0"/>
          <w:numId w:val="7"/>
        </w:numPr>
      </w:pPr>
      <w:r>
        <w:rPr>
          <w:rFonts w:hint="eastAsia"/>
        </w:rPr>
        <w:t>项目方案</w:t>
      </w:r>
    </w:p>
    <w:p>
      <w:r>
        <w:rPr>
          <w:rFonts w:hint="eastAsia"/>
        </w:rPr>
        <w:t>①设备设施配置、清单及详细资料</w:t>
      </w:r>
    </w:p>
    <w:p>
      <w:r>
        <w:rPr>
          <w:rFonts w:hint="eastAsia"/>
        </w:rPr>
        <w:t>②《项目解决方案及服务内容》</w:t>
      </w:r>
    </w:p>
    <w:p>
      <w:r>
        <w:rPr>
          <w:rFonts w:hint="eastAsia"/>
        </w:rPr>
        <w:t>③项目设计及实施方案</w:t>
      </w:r>
    </w:p>
    <w:p>
      <w:r>
        <w:rPr>
          <w:rFonts w:hint="eastAsia"/>
        </w:rPr>
        <w:t>④项目实施进度计划及人员安排</w:t>
      </w:r>
    </w:p>
    <w:p>
      <w:r>
        <w:rPr>
          <w:rFonts w:hint="eastAsia"/>
        </w:rPr>
        <w:t>⑤售后服务方案</w:t>
      </w:r>
    </w:p>
    <w:p>
      <w:r>
        <w:rPr>
          <w:rFonts w:hint="eastAsia"/>
        </w:rPr>
        <w:t>⑥应急预案</w:t>
      </w:r>
    </w:p>
    <w:p>
      <w:r>
        <w:rPr>
          <w:rFonts w:hint="eastAsia"/>
        </w:rPr>
        <w:t>4、报价</w:t>
      </w:r>
    </w:p>
    <w:p>
      <w:r>
        <w:rPr>
          <w:rFonts w:hint="eastAsia"/>
        </w:rPr>
        <w:t>提交《项目设备配置报价》，包括但不限于品牌、规格、数量或工程量、单价、材质、增值税税费等。</w:t>
      </w:r>
    </w:p>
    <w:p>
      <w:r>
        <w:rPr>
          <w:rFonts w:hint="eastAsia"/>
        </w:rPr>
        <w:t>5、标书要求</w:t>
      </w:r>
    </w:p>
    <w:p>
      <w:r>
        <w:rPr>
          <w:rFonts w:hint="eastAsia"/>
        </w:rPr>
        <w:t>本招标项目要求投标者根据上述要求，将有关资料整理做成</w:t>
      </w:r>
    </w:p>
    <w:p>
      <w:pPr>
        <w:rPr>
          <w:rFonts w:hAnsi="宋体"/>
        </w:rPr>
      </w:pPr>
      <w:r>
        <w:rPr>
          <w:rFonts w:hint="eastAsia"/>
        </w:rPr>
        <w:t>标书，标书要求一正一副。</w:t>
      </w:r>
    </w:p>
    <w:p>
      <w:r>
        <w:rPr>
          <w:rFonts w:hint="eastAsia"/>
        </w:rPr>
        <w:t>四、保密</w:t>
      </w:r>
    </w:p>
    <w:p>
      <w:pPr>
        <w:rPr>
          <w:b/>
          <w:bCs/>
        </w:rPr>
      </w:pPr>
      <w:r>
        <w:rPr>
          <w:rFonts w:hint="eastAsia"/>
        </w:rPr>
        <w:t>招标人提供的招标文件及涉及的所有资料，投标人不得向第三方透露。给招标人造成损失的，将依法追究法律责任。</w:t>
      </w:r>
    </w:p>
    <w:p/>
    <w:p>
      <w:pPr>
        <w:jc w:val="center"/>
        <w:rPr>
          <w:b/>
          <w:bCs/>
        </w:rPr>
      </w:pPr>
      <w:r>
        <w:rPr>
          <w:rFonts w:hint="eastAsia"/>
          <w:b/>
          <w:bCs/>
        </w:rPr>
        <w:t>第二部分付款、资质、工程要求</w:t>
      </w:r>
    </w:p>
    <w:p>
      <w:r>
        <w:rPr>
          <w:rFonts w:hint="eastAsia"/>
        </w:rPr>
        <w:t>一、付款要求</w:t>
      </w:r>
    </w:p>
    <w:p>
      <w:r>
        <w:rPr>
          <w:rFonts w:hint="eastAsia"/>
        </w:rPr>
        <w:t>1、付款形式：电汇；</w:t>
      </w:r>
    </w:p>
    <w:p>
      <w:r>
        <w:rPr>
          <w:rFonts w:hint="eastAsia"/>
        </w:rPr>
        <w:t>2、付款方式：</w:t>
      </w:r>
    </w:p>
    <w:p>
      <w:r>
        <w:rPr>
          <w:rFonts w:hint="eastAsia"/>
        </w:rPr>
        <w:t>2.1、①预付款30%；②安装完成验收合格付款60%；③质保金10%（一</w:t>
      </w:r>
    </w:p>
    <w:p>
      <w:r>
        <w:rPr>
          <w:rFonts w:hint="eastAsia"/>
        </w:rPr>
        <w:t>年后付清）；预付款，需开具同等金额银行履约保函后才能付款。</w:t>
      </w:r>
    </w:p>
    <w:p>
      <w:r>
        <w:rPr>
          <w:rFonts w:hint="eastAsia"/>
        </w:rPr>
        <w:t>2.2、①预付款</w:t>
      </w:r>
      <w:r>
        <w:t>3</w:t>
      </w:r>
      <w:r>
        <w:rPr>
          <w:rFonts w:hint="eastAsia"/>
        </w:rPr>
        <w:t>0%；发货前付款3</w:t>
      </w:r>
      <w:r>
        <w:t>0%</w:t>
      </w:r>
      <w:r>
        <w:rPr>
          <w:rFonts w:hint="eastAsia"/>
        </w:rPr>
        <w:t>；安装完成验收合格付款3</w:t>
      </w:r>
      <w:r>
        <w:t>0%</w:t>
      </w:r>
      <w:r>
        <w:rPr>
          <w:rFonts w:hint="eastAsia"/>
        </w:rPr>
        <w:t>②质保金10%（一年后付清）。</w:t>
      </w:r>
    </w:p>
    <w:p>
      <w:r>
        <w:rPr>
          <w:rFonts w:hint="eastAsia"/>
        </w:rPr>
        <w:t>2.3、或者比上述两者更优越的付款条件。</w:t>
      </w:r>
    </w:p>
    <w:p>
      <w:r>
        <w:rPr>
          <w:rFonts w:hint="eastAsia"/>
        </w:rPr>
        <w:t>二、资质要求</w:t>
      </w:r>
    </w:p>
    <w:p>
      <w:pPr>
        <w:rPr>
          <w:b/>
          <w:bCs/>
        </w:rPr>
      </w:pPr>
      <w:r>
        <w:rPr>
          <w:rFonts w:hint="eastAsia"/>
        </w:rPr>
        <w:t>应具有独立法人资格，持有国内合法营业执照，安装人员（需要登高作业人员）需持有登高作业证。</w:t>
      </w:r>
    </w:p>
    <w:p>
      <w:r>
        <w:rPr>
          <w:rFonts w:hint="eastAsia"/>
        </w:rPr>
        <w:t>三、工程要求</w:t>
      </w:r>
    </w:p>
    <w:p>
      <w:r>
        <w:rPr>
          <w:rFonts w:hint="eastAsia"/>
        </w:rPr>
        <w:t>1、所有设备必须符合国家规定的新标准且具有安全合格检验标志；设备安装质量必须达到有关标准及规范。</w:t>
      </w:r>
    </w:p>
    <w:p>
      <w:r>
        <w:rPr>
          <w:rFonts w:hint="eastAsia"/>
        </w:rPr>
        <w:t>2、投标方必须实地勘测，确定相关技术参数。</w:t>
      </w:r>
    </w:p>
    <w:p>
      <w:pPr>
        <w:rPr>
          <w:rFonts w:ascii="仿宋_GB2312" w:hAnsi="宋体" w:eastAsia="仿宋_GB2312"/>
        </w:rPr>
      </w:pPr>
      <w:r>
        <w:rPr>
          <w:rFonts w:hint="eastAsia" w:ascii="仿宋_GB2312" w:hAnsi="宋体" w:eastAsia="仿宋_GB2312"/>
        </w:rPr>
        <w:t>3、中标方</w:t>
      </w:r>
      <w:r>
        <w:rPr>
          <w:rFonts w:hint="eastAsia"/>
        </w:rPr>
        <w:t>负责设备安装及调试，负责卸车、吊装、搬运、报检及产生的费用；中标方负责</w:t>
      </w:r>
      <w:r>
        <w:rPr>
          <w:rFonts w:hint="eastAsia" w:ascii="仿宋_GB2312" w:hAnsi="宋体" w:eastAsia="仿宋_GB2312"/>
        </w:rPr>
        <w:t>安装所需各种耗材等。</w:t>
      </w:r>
      <w:r>
        <w:rPr>
          <w:rFonts w:hint="eastAsia" w:ascii="仿宋_GB2312" w:hAnsi="宋体" w:eastAsia="仿宋_GB2312" w:cstheme="minorBidi"/>
        </w:rPr>
        <w:t>本次投标为交钥匙工程。</w:t>
      </w:r>
    </w:p>
    <w:p>
      <w:r>
        <w:t>4</w:t>
      </w:r>
      <w:r>
        <w:rPr>
          <w:rFonts w:hint="eastAsia"/>
        </w:rPr>
        <w:t>、交货周期：合同签订</w:t>
      </w:r>
      <w:r>
        <w:t>后60</w:t>
      </w:r>
      <w:r>
        <w:rPr>
          <w:rFonts w:hint="eastAsia"/>
        </w:rPr>
        <w:t>日内</w:t>
      </w:r>
    </w:p>
    <w:p>
      <w:r>
        <w:rPr>
          <w:rFonts w:hint="eastAsia"/>
        </w:rPr>
        <w:t>安装周期：货到工地并接招标方安装通知后40日内</w:t>
      </w:r>
    </w:p>
    <w:p>
      <w:r>
        <w:rPr>
          <w:rFonts w:hint="eastAsia"/>
        </w:rPr>
        <w:t>6、中标方负责免费维保一年</w:t>
      </w:r>
    </w:p>
    <w:p>
      <w:pPr>
        <w:pStyle w:val="24"/>
        <w:numPr>
          <w:ilvl w:val="0"/>
          <w:numId w:val="8"/>
        </w:numPr>
      </w:pPr>
      <w:r>
        <w:rPr>
          <w:rFonts w:hint="eastAsia"/>
        </w:rPr>
        <w:t>工程地点：山东招远市金晖路229号</w:t>
      </w:r>
    </w:p>
    <w:p>
      <w:pPr>
        <w:pStyle w:val="24"/>
        <w:numPr>
          <w:ilvl w:val="0"/>
          <w:numId w:val="8"/>
        </w:numPr>
      </w:pPr>
      <w:r>
        <w:rPr>
          <w:rFonts w:hint="eastAsia"/>
        </w:rPr>
        <w:t>投标方需要到工地现场交流</w:t>
      </w:r>
    </w:p>
    <w:p>
      <w:pPr>
        <w:rPr>
          <w:rFonts w:hAnsi="仿宋_GB2312" w:cs="仿宋_GB2312"/>
          <w:szCs w:val="32"/>
        </w:rPr>
      </w:pPr>
      <w:r>
        <w:rPr>
          <w:rFonts w:hint="eastAsia"/>
        </w:rPr>
        <w:t>第三部分技术指标及规格要求</w:t>
      </w:r>
    </w:p>
    <w:p>
      <w:pPr>
        <w:rPr>
          <w:kern w:val="0"/>
          <w:sz w:val="24"/>
        </w:rPr>
      </w:pPr>
      <w:r>
        <w:rPr>
          <w:rFonts w:hint="eastAsia"/>
          <w:szCs w:val="32"/>
        </w:rPr>
        <w:t>一</w:t>
      </w:r>
      <w:r>
        <w:rPr>
          <w:rFonts w:hint="eastAsia"/>
        </w:rPr>
        <w:t>、技术</w:t>
      </w:r>
      <w:r>
        <w:rPr>
          <w:rFonts w:hint="eastAsia"/>
          <w:kern w:val="0"/>
        </w:rPr>
        <w:t>参数：</w:t>
      </w:r>
    </w:p>
    <w:p>
      <w:r>
        <w:rPr>
          <w:rFonts w:hint="eastAsia"/>
        </w:rPr>
        <w:t>1、污水处理部分：</w:t>
      </w:r>
    </w:p>
    <w:p>
      <w:pPr>
        <w:ind w:left="980" w:leftChars="350"/>
      </w:pPr>
      <w:r>
        <w:rPr>
          <w:rFonts w:hint="eastAsia"/>
        </w:rPr>
        <w:t>根据G-095铜箔品质提升项目铜箔废水污处理系统的要求及目前废处理运行现状，拟对现有的废水处理系统进行改造。使经过处理后的废水满足《电镀污染物排放标准》GB21900-2008表2标准污染物排放限值要求。</w:t>
      </w:r>
    </w:p>
    <w:p>
      <w:pPr>
        <w:ind w:left="0" w:leftChars="0" w:firstLine="980" w:firstLineChars="350"/>
      </w:pPr>
      <w:r>
        <w:rPr>
          <w:rFonts w:hint="eastAsia"/>
        </w:rPr>
        <w:t>该工程设计处理</w:t>
      </w:r>
      <w:r>
        <w:rPr>
          <w:rFonts w:hint="eastAsia"/>
          <w:highlight w:val="yellow"/>
        </w:rPr>
        <w:t>含铜污水</w:t>
      </w:r>
      <w:r>
        <w:rPr>
          <w:rFonts w:hint="eastAsia"/>
        </w:rPr>
        <w:t>规模：1</w:t>
      </w:r>
      <w:r>
        <w:t>0T/h</w:t>
      </w:r>
      <w:r>
        <w:rPr>
          <w:rFonts w:hint="eastAsia"/>
        </w:rPr>
        <w:t>。</w:t>
      </w:r>
    </w:p>
    <w:p>
      <w:pPr>
        <w:pStyle w:val="24"/>
      </w:pPr>
      <w:r>
        <w:rPr>
          <w:rFonts w:hint="eastAsia"/>
        </w:rPr>
        <w:t>认真贯彻执行国家环境保护方针政策，遵守国家有关法规、标准；</w:t>
      </w:r>
    </w:p>
    <w:p>
      <w:pPr>
        <w:pStyle w:val="24"/>
      </w:pPr>
      <w:r>
        <w:rPr>
          <w:rFonts w:hint="eastAsia"/>
        </w:rPr>
        <w:t>排放标准：执行《电镀污染物排放标准》GB21900-2008表2标准污染物排放限值要求;</w:t>
      </w:r>
    </w:p>
    <w:p>
      <w:pPr>
        <w:pStyle w:val="24"/>
      </w:pPr>
      <w:r>
        <w:rPr>
          <w:rFonts w:hint="eastAsia"/>
        </w:rPr>
        <w:t>压滤机采用景津品牌8</w:t>
      </w:r>
      <w:r>
        <w:t>0</w:t>
      </w:r>
      <w:r>
        <w:rPr>
          <w:rFonts w:hint="eastAsia"/>
        </w:rPr>
        <w:t>㎡，管道泵采用凯泉品牌泵，PVC管件采用江苏华生化工管件或同档次品牌;</w:t>
      </w:r>
    </w:p>
    <w:p>
      <w:pPr>
        <w:pStyle w:val="24"/>
      </w:pPr>
      <w:r>
        <w:rPr>
          <w:rFonts w:hint="eastAsia"/>
        </w:rPr>
        <w:t>污水处理室外管线需做保温处理，管路保温采用硅酸铝及铝板;</w:t>
      </w:r>
    </w:p>
    <w:p>
      <w:pPr>
        <w:pStyle w:val="24"/>
      </w:pPr>
      <w:r>
        <w:rPr>
          <w:rFonts w:hint="eastAsia"/>
        </w:rPr>
        <w:t>本工程设计方案编制范围包括改造工艺确定、设备选型、构（建）筑物结构及电气控制设计及编程工艺等；</w:t>
      </w:r>
    </w:p>
    <w:p>
      <w:pPr>
        <w:pStyle w:val="24"/>
      </w:pPr>
      <w:r>
        <w:rPr>
          <w:rFonts w:hint="eastAsia"/>
        </w:rPr>
        <w:t>供货范围从生产废水进入水处理站进口前一米至项目排水槽。负责系统的功能完整性。设备清单以功能完整性及合理性为准;</w:t>
      </w:r>
    </w:p>
    <w:p>
      <w:pPr>
        <w:pStyle w:val="24"/>
      </w:pPr>
      <w:r>
        <w:rPr>
          <w:rFonts w:hint="eastAsia"/>
        </w:rPr>
        <w:t>电气部分：供货方负责电气控制设计及编程工艺，做到与老系统设备完美兼容匹配；</w:t>
      </w:r>
    </w:p>
    <w:p>
      <w:pPr>
        <w:pStyle w:val="24"/>
      </w:pPr>
      <w:r>
        <w:rPr>
          <w:rFonts w:hint="eastAsia"/>
        </w:rPr>
        <w:t xml:space="preserve">根据铜箔废水水质和处理要求，合理选择工艺路线，要求处理技术先进，工艺自动化程度高，出水水质达标，运行稳定、可靠，在满足处理要求的前提下，尽量减少占地和投资； </w:t>
      </w:r>
    </w:p>
    <w:p>
      <w:pPr>
        <w:pStyle w:val="24"/>
      </w:pPr>
      <w:r>
        <w:rPr>
          <w:rFonts w:hint="eastAsia"/>
        </w:rPr>
        <w:t>设备选型要综合考虑性能、价格因素，设备要求高效节能，噪音低，运行可靠，维护管理简便；运行噪音、不良气体及污泥处置过程中不造成二次污染；在处理达标前提下尽量降低投资成本；</w:t>
      </w:r>
    </w:p>
    <w:p>
      <w:pPr>
        <w:pStyle w:val="24"/>
      </w:pPr>
      <w:r>
        <w:rPr>
          <w:rFonts w:hint="eastAsia"/>
        </w:rPr>
        <w:t>池体合理布局，并与现场的给排水系统相匹配。废水处理站平面和工程布置要求紧凑、合理、美观，实现功能分区，方便运行管理，工程布局适合建设方整体要求；</w:t>
      </w:r>
    </w:p>
    <w:p>
      <w:pPr>
        <w:pStyle w:val="24"/>
      </w:pPr>
      <w:r>
        <w:rPr>
          <w:rFonts w:hint="eastAsia"/>
        </w:rPr>
        <w:t>确保出水达到相应水质标准，运行稳定、可靠、实用；</w:t>
      </w:r>
    </w:p>
    <w:p>
      <w:pPr>
        <w:pStyle w:val="24"/>
      </w:pPr>
      <w:r>
        <w:rPr>
          <w:rFonts w:hint="eastAsia"/>
        </w:rPr>
        <w:t>整个废水处理厂设计优化简洁，与周围环境统一协调。</w:t>
      </w:r>
    </w:p>
    <w:p>
      <w:pPr>
        <w:pStyle w:val="15"/>
        <w:ind w:leftChars="150" w:firstLineChars="150"/>
      </w:pPr>
      <w:r>
        <w:rPr>
          <w:rFonts w:hint="eastAsia"/>
        </w:rPr>
        <w:t>2、纯水处理部分</w:t>
      </w:r>
    </w:p>
    <w:p>
      <w:r>
        <w:rPr>
          <w:rFonts w:hint="eastAsia"/>
        </w:rPr>
        <w:t>根据甲方现有设备，在达到甲方要求的处理水量基础上，以节省改造成本及尽可能少工期及减少改动管路为原则，供方在利用甲方已有设备的基础上为甲方部分管道进行适当改动并新增部分设备，本工艺方案是根据甲方需求，以系统运行可靠、经济合理为原则，采用符合国家相关设计标准和规范进行方案编制。</w:t>
      </w:r>
    </w:p>
    <w:p>
      <w:pPr>
        <w:ind w:leftChars="0" w:firstLine="0" w:firstLineChars="0"/>
      </w:pPr>
      <w:r>
        <w:rPr>
          <w:rFonts w:hint="eastAsia"/>
        </w:rPr>
        <w:t>（1）含铜漂洗水：将原有的2台二级浓水反渗透系统（单台6支膜，两台12支膜）换掉，新增2台浓水反渗透系统（单台16支膜，两台32支膜）,在原有的系统上配套更换相应的进水泵、预处理的保安过滤器及相关配套的管路和阀门等，不变更原有管道及设备功能,系统运行时，每运行40分钟，高压泵冲洗系统1分钟；</w:t>
      </w:r>
    </w:p>
    <w:p>
      <w:pPr>
        <w:ind w:firstLine="0" w:firstLineChars="0"/>
      </w:pPr>
      <w:r>
        <w:rPr>
          <w:rFonts w:hint="eastAsia"/>
        </w:rPr>
        <w:t>（2）含铬漂洗水：原有的处理含铬废水的1台一级反渗透系统（78支膜）和备用的1台一级反渗透系统（42支膜），其中的1台一级反渗透系统（42支膜），之前是处理综合废水的，其高压泵扬程过高，无法配套使用，现为其更换符合实际应用情况的高压泵；再将原处理自来水的一级反渗透系统（42支膜），通过变更原有的进水、产水及浓水管路，并在其原有系统的基础上增加一套保安过滤器，将其功能变更为处理含铬废水的反渗透系统，其高压泵扬程过高，无法配套使用，并将其更换符合实际应用情况的高压泵；</w:t>
      </w:r>
    </w:p>
    <w:p>
      <w:pPr>
        <w:pStyle w:val="7"/>
        <w:ind w:left="498" w:leftChars="178" w:firstLine="0" w:firstLineChars="0"/>
        <w:rPr>
          <w:rFonts w:eastAsia="仿宋"/>
          <w:sz w:val="28"/>
          <w:szCs w:val="28"/>
        </w:rPr>
      </w:pPr>
      <w:r>
        <w:rPr>
          <w:rFonts w:hint="eastAsia"/>
        </w:rPr>
        <w:t>（3）自来水补水系统：</w:t>
      </w:r>
      <w:r>
        <w:rPr>
          <w:rFonts w:hint="eastAsia" w:eastAsia="仿宋"/>
          <w:sz w:val="28"/>
          <w:szCs w:val="28"/>
        </w:rPr>
        <w:t>由于原有的处理自来水的一级反渗透系统（42支膜）去处理含铬废水了，现增加一整套处理自来水的系统，暂定产水水量60m3/h的超滤和40m3/h的反渗透系统，独立增设进水管路，产水及浓水管路并入原自来水补水系统总管中；</w:t>
      </w:r>
    </w:p>
    <w:p>
      <w:pPr>
        <w:ind w:left="700" w:leftChars="150" w:hanging="280" w:hangingChars="100"/>
      </w:pPr>
      <w:r>
        <w:rPr>
          <w:rFonts w:hint="eastAsia"/>
        </w:rPr>
        <w:t>（4）供配电系统：电源：甲方提供一路AC380V电源接入点（原配电室），乙方自行引接至新增电控柜，并依据项目负荷情况进行分配；</w:t>
      </w:r>
    </w:p>
    <w:p>
      <w:pPr>
        <w:ind w:firstLine="0" w:firstLineChars="0"/>
      </w:pPr>
      <w:r>
        <w:rPr>
          <w:rFonts w:hint="eastAsia"/>
        </w:rPr>
        <w:t>配电：利旧原纯水配电室，配电柜配电方式及位置不做调整，将配电室内上位机及操作台移至新控制室，以便新增配电柜布置；</w:t>
      </w:r>
    </w:p>
    <w:p>
      <w:pPr>
        <w:ind w:firstLine="0" w:firstLineChars="0"/>
      </w:pPr>
      <w:r>
        <w:rPr>
          <w:rFonts w:hint="eastAsia"/>
        </w:rPr>
        <w:t>（5）高压泵采用格兰富品牌，管道泵采用凯泉泵，R</w:t>
      </w:r>
      <w:r>
        <w:t>O</w:t>
      </w:r>
      <w:r>
        <w:rPr>
          <w:rFonts w:hint="eastAsia"/>
        </w:rPr>
        <w:t>膜采用陶氏抗污染膜，PVC管件采用江苏华生化工管件或同档次品牌，室外管路需采用硅酸铝及铝板保温处理；</w:t>
      </w:r>
    </w:p>
    <w:p>
      <w:pPr>
        <w:ind w:firstLine="0" w:firstLineChars="0"/>
      </w:pPr>
      <w:r>
        <w:rPr>
          <w:rFonts w:hint="eastAsia"/>
        </w:rPr>
        <w:t>（6）产水指标：脱盐率9</w:t>
      </w:r>
      <w:r>
        <w:t>7%</w:t>
      </w:r>
      <w:r>
        <w:rPr>
          <w:rFonts w:hint="eastAsia"/>
        </w:rPr>
        <w:t>以上，电导＜1</w:t>
      </w:r>
      <w:r>
        <w:t>00us/cm</w:t>
      </w:r>
      <w:r>
        <w:rPr>
          <w:rFonts w:hint="eastAsia"/>
        </w:rPr>
        <w:t>；</w:t>
      </w:r>
    </w:p>
    <w:p>
      <w:pPr>
        <w:ind w:firstLine="140" w:firstLineChars="50"/>
        <w:rPr>
          <w:color w:val="0000FF"/>
        </w:rPr>
      </w:pPr>
      <w:r>
        <w:rPr>
          <w:rFonts w:hint="eastAsia"/>
          <w:color w:val="0000FF"/>
        </w:rPr>
        <w:t>(</w:t>
      </w:r>
      <w:r>
        <w:rPr>
          <w:color w:val="0000FF"/>
        </w:rPr>
        <w:t>7)</w:t>
      </w:r>
      <w:r>
        <w:rPr>
          <w:rFonts w:hint="eastAsia"/>
          <w:color w:val="0000FF"/>
        </w:rPr>
        <w:t>设备改造完成后，供方需将电脑系统程序文件移交给招标方并对员工进行操作培训，确保能独立完成设备操作技能。</w:t>
      </w:r>
    </w:p>
    <w:p>
      <w:r>
        <w:rPr>
          <w:rFonts w:hint="eastAsia"/>
        </w:rPr>
        <w:t>二、保证条款</w:t>
      </w:r>
    </w:p>
    <w:p>
      <w:pPr>
        <w:ind w:left="1128" w:leftChars="0" w:firstLine="0" w:firstLineChars="0"/>
      </w:pPr>
      <w:r>
        <w:rPr>
          <w:rFonts w:hint="eastAsia"/>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r>
        <w:rPr>
          <w:rFonts w:hint="eastAsia"/>
        </w:rPr>
        <w:t>2.因中标方所供货物给招标方造成环保等其他方面相关损失，中标方需承担全部赔偿责任。</w:t>
      </w:r>
    </w:p>
    <w:p>
      <w:r>
        <w:rPr>
          <w:rFonts w:hint="eastAsia"/>
        </w:rPr>
        <w:t>三、交货期及运费</w:t>
      </w:r>
    </w:p>
    <w:p>
      <w:pPr>
        <w:ind w:left="1128" w:leftChars="0" w:firstLine="0" w:firstLineChars="0"/>
      </w:pPr>
      <w:r>
        <w:rPr>
          <w:rFonts w:hint="eastAsia"/>
        </w:rPr>
        <w:t>交货期，自合同签订生效之日起</w:t>
      </w:r>
      <w:r>
        <w:t>6</w:t>
      </w:r>
      <w:r>
        <w:rPr>
          <w:rFonts w:hint="eastAsia"/>
        </w:rPr>
        <w:t>0日内。中标方负责到招标方的运输及费用。如逾期到货，按合同应按合同总值的20%支付违约金给买方，招标方可直接从货款中扣除。如招标方逾期付款，按合同标的金额千分之一/日支付违约金给卖方。</w:t>
      </w:r>
    </w:p>
    <w:p>
      <w:pPr>
        <w:ind w:left="1128" w:leftChars="0" w:firstLine="0" w:firstLineChars="0"/>
      </w:pPr>
      <w:r>
        <w:rPr>
          <w:rFonts w:hint="eastAsia"/>
        </w:rPr>
        <w:t>四、有关知识产权</w:t>
      </w:r>
    </w:p>
    <w:p>
      <w:r>
        <w:rPr>
          <w:rFonts w:hint="eastAsia"/>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left="1128" w:leftChars="0" w:firstLine="0" w:firstLineChars="0"/>
      </w:pPr>
      <w:r>
        <w:rPr>
          <w:rFonts w:hint="eastAsia"/>
        </w:rPr>
        <w:t>五、售后服务、质量保证：售后服务事项在合同中进行约定。</w:t>
      </w:r>
    </w:p>
    <w:p>
      <w:r>
        <w:rPr>
          <w:rFonts w:hint="eastAsia"/>
        </w:rPr>
        <w:t>报价单格式：</w:t>
      </w:r>
    </w:p>
    <w:tbl>
      <w:tblPr>
        <w:tblStyle w:val="17"/>
        <w:tblW w:w="0" w:type="auto"/>
        <w:tblInd w:w="4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18"/>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7" w:type="dxa"/>
            <w:gridSpan w:val="3"/>
          </w:tcPr>
          <w:p>
            <w:r>
              <w:rPr>
                <w:rFonts w:hint="eastAsia"/>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7" w:type="dxa"/>
            <w:gridSpan w:val="3"/>
          </w:tcPr>
          <w:p>
            <w:r>
              <w:rPr>
                <w:rFonts w:hint="eastAsia"/>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项目</w:t>
            </w:r>
          </w:p>
        </w:tc>
        <w:tc>
          <w:tcPr>
            <w:tcW w:w="7679" w:type="dxa"/>
            <w:gridSpan w:val="2"/>
          </w:tcPr>
          <w:p>
            <w:r>
              <w:rPr>
                <w:rFonts w:hint="eastAsia"/>
              </w:rPr>
              <w:t>水（污）处理改造项目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交货期限</w:t>
            </w:r>
          </w:p>
        </w:tc>
        <w:tc>
          <w:tcPr>
            <w:tcW w:w="7679" w:type="dxa"/>
            <w:gridSpan w:val="2"/>
          </w:tcPr>
          <w:p>
            <w:r>
              <w:rPr>
                <w:rFonts w:hint="eastAsia"/>
              </w:rPr>
              <w:t>合同签订后60日内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报价</w:t>
            </w:r>
          </w:p>
        </w:tc>
        <w:tc>
          <w:tcPr>
            <w:tcW w:w="7679" w:type="dxa"/>
            <w:gridSpan w:val="2"/>
          </w:tcPr>
          <w:p>
            <w:r>
              <w:rPr>
                <w:rFonts w:hint="eastAsia"/>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税率</w:t>
            </w:r>
          </w:p>
        </w:tc>
        <w:tc>
          <w:tcPr>
            <w:tcW w:w="1653" w:type="dxa"/>
          </w:tcPr>
          <w:p>
            <w:r>
              <w:rPr>
                <w:rFonts w:hint="eastAsia"/>
              </w:rPr>
              <w:t>%</w:t>
            </w:r>
          </w:p>
        </w:tc>
        <w:tc>
          <w:tcPr>
            <w:tcW w:w="6026" w:type="dxa"/>
          </w:tcPr>
          <w:p>
            <w:pPr>
              <w:rPr>
                <w:rFonts w:ascii="仿宋_GB2312" w:hAnsi="宋体" w:eastAsia="仿宋_GB2312"/>
              </w:rPr>
            </w:pPr>
            <w:r>
              <w:rPr>
                <w:rFonts w:hint="eastAsia" w:eastAsia="微软雅黑"/>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eastAsia="微软雅黑"/>
                <w:color w:val="000000"/>
              </w:rPr>
              <w:t>增值税</w:t>
            </w:r>
            <w:r>
              <w:rPr>
                <w:rFonts w:hint="eastAsia" w:eastAsia="微软雅黑"/>
                <w:color w:val="000000"/>
              </w:rPr>
              <w:fldChar w:fldCharType="end"/>
            </w:r>
            <w:r>
              <w:rPr>
                <w:rFonts w:hint="eastAsia" w:eastAsia="微软雅黑"/>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服务内容</w:t>
            </w:r>
          </w:p>
        </w:tc>
        <w:tc>
          <w:tcPr>
            <w:tcW w:w="7679"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备注</w:t>
            </w:r>
          </w:p>
        </w:tc>
        <w:tc>
          <w:tcPr>
            <w:tcW w:w="7679" w:type="dxa"/>
            <w:gridSpan w:val="2"/>
          </w:tcPr>
          <w:p/>
        </w:tc>
      </w:tr>
    </w:tbl>
    <w:p>
      <w:pPr>
        <w:ind w:left="1128" w:leftChars="0" w:firstLine="0" w:firstLineChars="0"/>
      </w:pPr>
      <w:r>
        <w:rPr>
          <w:rFonts w:hint="eastAsia"/>
        </w:rPr>
        <w:t>投标方需提供设备配置清单：</w:t>
      </w:r>
    </w:p>
    <w:p>
      <w:pPr>
        <w:pStyle w:val="24"/>
        <w:numPr>
          <w:ilvl w:val="0"/>
          <w:numId w:val="0"/>
        </w:numPr>
        <w:ind w:left="1848"/>
      </w:pPr>
    </w:p>
    <w:p>
      <w:pPr>
        <w:pStyle w:val="24"/>
        <w:numPr>
          <w:ilvl w:val="0"/>
          <w:numId w:val="0"/>
        </w:numPr>
        <w:ind w:left="1848"/>
      </w:pPr>
    </w:p>
    <w:p>
      <w:pPr>
        <w:pStyle w:val="24"/>
        <w:numPr>
          <w:ilvl w:val="0"/>
          <w:numId w:val="0"/>
        </w:numPr>
        <w:ind w:left="1848"/>
      </w:pPr>
    </w:p>
    <w:p>
      <w:r>
        <w:rPr>
          <w:rFonts w:hint="eastAsia"/>
        </w:rPr>
        <w:t>中标方需按照以下合同为模板签订合同</w:t>
      </w:r>
    </w:p>
    <w:p>
      <w:pPr>
        <w:pStyle w:val="24"/>
        <w:numPr>
          <w:ilvl w:val="0"/>
          <w:numId w:val="0"/>
        </w:numPr>
        <w:ind w:left="1848"/>
      </w:pPr>
    </w:p>
    <w:p>
      <w:r>
        <w:rPr>
          <w:rFonts w:hint="eastAsia"/>
        </w:rPr>
        <w:t>XXX设备购销合同</w:t>
      </w:r>
    </w:p>
    <w:p>
      <w:r>
        <w:rPr>
          <w:rFonts w:hint="eastAsia"/>
        </w:rPr>
        <w:t>甲方（采购方）：山东金宝电子有限公司</w:t>
      </w:r>
    </w:p>
    <w:p>
      <w:r>
        <w:rPr>
          <w:rFonts w:hint="eastAsia"/>
        </w:rPr>
        <w:t>山东金都电子材料有限公司</w:t>
      </w:r>
    </w:p>
    <w:p>
      <w:pPr>
        <w:pStyle w:val="14"/>
        <w:ind w:left="560" w:firstLine="240"/>
      </w:pPr>
      <w:r>
        <w:rPr>
          <w:rFonts w:hint="eastAsia"/>
        </w:rPr>
        <w:t>金宝电子（铜陵）有限公司</w:t>
      </w:r>
    </w:p>
    <w:p>
      <w:r>
        <w:rPr>
          <w:rFonts w:hint="eastAsia"/>
        </w:rPr>
        <w:t>乙方（供货方）： XXX公司</w:t>
      </w:r>
    </w:p>
    <w:p>
      <w:r>
        <w:rPr>
          <w:rFonts w:hint="eastAsia"/>
        </w:rPr>
        <w:t>经甲、乙双方友好协商，本着平等互利的原则，根据《中华人民共和国民法典》及相关法律的规定，就甲方向乙方购买以下设备达成如下协议：</w:t>
      </w:r>
    </w:p>
    <w:p>
      <w:r>
        <w:rPr>
          <w:rFonts w:hint="eastAsia"/>
        </w:rPr>
        <w:t>一、设备名称、规格型号、数量、单价及合同额：</w:t>
      </w:r>
    </w:p>
    <w:tbl>
      <w:tblPr>
        <w:tblStyle w:val="16"/>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r>
              <w:rPr>
                <w:rFonts w:hint="eastAsia"/>
              </w:rPr>
              <w:t>序号</w:t>
            </w:r>
          </w:p>
        </w:tc>
        <w:tc>
          <w:tcPr>
            <w:tcW w:w="1708" w:type="dxa"/>
            <w:tcBorders>
              <w:tl2br w:val="nil"/>
              <w:tr2bl w:val="nil"/>
            </w:tcBorders>
            <w:tcMar>
              <w:top w:w="0" w:type="dxa"/>
              <w:left w:w="108" w:type="dxa"/>
              <w:bottom w:w="0" w:type="dxa"/>
              <w:right w:w="108" w:type="dxa"/>
            </w:tcMar>
            <w:vAlign w:val="center"/>
          </w:tcPr>
          <w:p>
            <w:r>
              <w:rPr>
                <w:rFonts w:hint="eastAsia"/>
              </w:rPr>
              <w:t>设备名称</w:t>
            </w:r>
          </w:p>
        </w:tc>
        <w:tc>
          <w:tcPr>
            <w:tcW w:w="784" w:type="dxa"/>
            <w:tcBorders>
              <w:tl2br w:val="nil"/>
              <w:tr2bl w:val="nil"/>
            </w:tcBorders>
            <w:tcMar>
              <w:top w:w="0" w:type="dxa"/>
              <w:left w:w="108" w:type="dxa"/>
              <w:bottom w:w="0" w:type="dxa"/>
              <w:right w:w="108" w:type="dxa"/>
            </w:tcMar>
            <w:vAlign w:val="center"/>
          </w:tcPr>
          <w:p>
            <w:r>
              <w:rPr>
                <w:rFonts w:hint="eastAsia"/>
              </w:rPr>
              <w:t>单位</w:t>
            </w:r>
          </w:p>
        </w:tc>
        <w:tc>
          <w:tcPr>
            <w:tcW w:w="883" w:type="dxa"/>
            <w:tcBorders>
              <w:tl2br w:val="nil"/>
              <w:tr2bl w:val="nil"/>
            </w:tcBorders>
            <w:tcMar>
              <w:top w:w="0" w:type="dxa"/>
              <w:left w:w="108" w:type="dxa"/>
              <w:bottom w:w="0" w:type="dxa"/>
              <w:right w:w="108" w:type="dxa"/>
            </w:tcMar>
            <w:vAlign w:val="center"/>
          </w:tcPr>
          <w:p>
            <w:r>
              <w:rPr>
                <w:rFonts w:hint="eastAsia"/>
              </w:rPr>
              <w:t>数量</w:t>
            </w:r>
          </w:p>
        </w:tc>
        <w:tc>
          <w:tcPr>
            <w:tcW w:w="1450" w:type="dxa"/>
            <w:tcBorders>
              <w:tl2br w:val="nil"/>
              <w:tr2bl w:val="nil"/>
            </w:tcBorders>
            <w:tcMar>
              <w:top w:w="0" w:type="dxa"/>
              <w:left w:w="108" w:type="dxa"/>
              <w:bottom w:w="0" w:type="dxa"/>
              <w:right w:w="108" w:type="dxa"/>
            </w:tcMar>
            <w:vAlign w:val="center"/>
          </w:tcPr>
          <w:p>
            <w:r>
              <w:rPr>
                <w:rFonts w:hint="eastAsia"/>
              </w:rPr>
              <w:t>单价（元）</w:t>
            </w:r>
          </w:p>
        </w:tc>
        <w:tc>
          <w:tcPr>
            <w:tcW w:w="1417" w:type="dxa"/>
            <w:tcBorders>
              <w:tl2br w:val="nil"/>
              <w:tr2bl w:val="nil"/>
            </w:tcBorders>
            <w:tcMar>
              <w:top w:w="0" w:type="dxa"/>
              <w:left w:w="108" w:type="dxa"/>
              <w:bottom w:w="0" w:type="dxa"/>
              <w:right w:w="108" w:type="dxa"/>
            </w:tcMar>
            <w:vAlign w:val="center"/>
          </w:tcPr>
          <w:p>
            <w:r>
              <w:rPr>
                <w:rFonts w:hint="eastAsia"/>
              </w:rPr>
              <w:t>总价（元）</w:t>
            </w:r>
          </w:p>
        </w:tc>
        <w:tc>
          <w:tcPr>
            <w:tcW w:w="1452" w:type="dxa"/>
            <w:tcBorders>
              <w:tl2br w:val="nil"/>
              <w:tr2bl w:val="nil"/>
            </w:tcBorders>
            <w:vAlign w:val="center"/>
          </w:tcPr>
          <w:p>
            <w:r>
              <w:rPr>
                <w:rFonts w:hint="eastAsi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r>
              <w:rPr>
                <w:rFonts w:hint="eastAsia"/>
              </w:rPr>
              <w:t>1</w:t>
            </w:r>
          </w:p>
        </w:tc>
        <w:tc>
          <w:tcPr>
            <w:tcW w:w="1708" w:type="dxa"/>
            <w:tcBorders>
              <w:tl2br w:val="nil"/>
              <w:tr2bl w:val="nil"/>
            </w:tcBorders>
            <w:tcMar>
              <w:top w:w="0" w:type="dxa"/>
              <w:left w:w="108" w:type="dxa"/>
              <w:bottom w:w="0" w:type="dxa"/>
              <w:right w:w="108" w:type="dxa"/>
            </w:tcMar>
            <w:vAlign w:val="center"/>
          </w:tcPr>
          <w:p/>
        </w:tc>
        <w:tc>
          <w:tcPr>
            <w:tcW w:w="784" w:type="dxa"/>
            <w:tcBorders>
              <w:tl2br w:val="nil"/>
              <w:tr2bl w:val="nil"/>
            </w:tcBorders>
            <w:tcMar>
              <w:top w:w="0" w:type="dxa"/>
              <w:left w:w="108" w:type="dxa"/>
              <w:bottom w:w="0" w:type="dxa"/>
              <w:right w:w="108" w:type="dxa"/>
            </w:tcMar>
            <w:vAlign w:val="center"/>
          </w:tcPr>
          <w:p/>
        </w:tc>
        <w:tc>
          <w:tcPr>
            <w:tcW w:w="883" w:type="dxa"/>
            <w:tcBorders>
              <w:tl2br w:val="nil"/>
              <w:tr2bl w:val="nil"/>
            </w:tcBorders>
            <w:tcMar>
              <w:top w:w="0" w:type="dxa"/>
              <w:left w:w="108" w:type="dxa"/>
              <w:bottom w:w="0" w:type="dxa"/>
              <w:right w:w="108" w:type="dxa"/>
            </w:tcMar>
            <w:vAlign w:val="center"/>
          </w:tcPr>
          <w:p/>
        </w:tc>
        <w:tc>
          <w:tcPr>
            <w:tcW w:w="1450" w:type="dxa"/>
            <w:tcBorders>
              <w:tl2br w:val="nil"/>
              <w:tr2bl w:val="nil"/>
            </w:tcBorders>
            <w:tcMar>
              <w:top w:w="0" w:type="dxa"/>
              <w:left w:w="108" w:type="dxa"/>
              <w:bottom w:w="0" w:type="dxa"/>
              <w:right w:w="108" w:type="dxa"/>
            </w:tcMar>
            <w:vAlign w:val="center"/>
          </w:tcPr>
          <w:p/>
        </w:tc>
        <w:tc>
          <w:tcPr>
            <w:tcW w:w="1417" w:type="dxa"/>
            <w:tcBorders>
              <w:tl2br w:val="nil"/>
              <w:tr2bl w:val="nil"/>
            </w:tcBorders>
            <w:tcMar>
              <w:top w:w="0" w:type="dxa"/>
              <w:left w:w="108" w:type="dxa"/>
              <w:bottom w:w="0" w:type="dxa"/>
              <w:right w:w="108" w:type="dxa"/>
            </w:tcMar>
            <w:vAlign w:val="center"/>
          </w:tcPr>
          <w:p/>
        </w:tc>
        <w:tc>
          <w:tcPr>
            <w:tcW w:w="1452" w:type="dxa"/>
            <w:tcBorders>
              <w:tl2br w:val="nil"/>
              <w:tr2bl w:val="nil"/>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r>
              <w:rPr>
                <w:rFonts w:hint="eastAsia"/>
              </w:rPr>
              <w:t>合计人民币（大写）：XXX  (￥:XX)   含XX增值税、安装调试费、运费等</w:t>
            </w:r>
          </w:p>
        </w:tc>
      </w:tr>
    </w:tbl>
    <w:p>
      <w:r>
        <w:rPr>
          <w:rFonts w:hint="eastAsia"/>
        </w:rPr>
        <w:t>二、交货地点、时间、方式</w:t>
      </w:r>
    </w:p>
    <w:p>
      <w:r>
        <w:rPr>
          <w:rFonts w:hint="eastAsia"/>
        </w:rPr>
        <w:t>1.交货地点：XX省XX市XX路XX号；</w:t>
      </w:r>
    </w:p>
    <w:p>
      <w:r>
        <w:rPr>
          <w:rFonts w:hint="eastAsia"/>
        </w:rPr>
        <w:t>2.交货时间：合同生效后，XX日之前货到甲方指定地点；</w:t>
      </w:r>
    </w:p>
    <w:p>
      <w:r>
        <w:rPr>
          <w:rFonts w:hint="eastAsia"/>
        </w:rPr>
        <w:t>3.运输方式、运输责任及运输费用负担：乙方负责到甲方工厂的包装、装卸货、运输及保险费用。</w:t>
      </w:r>
    </w:p>
    <w:p>
      <w:r>
        <w:rPr>
          <w:rFonts w:hint="eastAsia"/>
        </w:rPr>
        <w:t>三、付款方式</w:t>
      </w:r>
    </w:p>
    <w:p>
      <w:pPr>
        <w:ind w:firstLine="562"/>
        <w:rPr>
          <w:b/>
          <w:bCs/>
        </w:rPr>
      </w:pPr>
      <w:r>
        <w:rPr>
          <w:rFonts w:hint="eastAsia"/>
          <w:b/>
        </w:rPr>
        <w:t>1.预付款：</w:t>
      </w:r>
      <w:r>
        <w:rPr>
          <w:rFonts w:hint="eastAsia"/>
          <w:lang w:val="en-GB"/>
        </w:rPr>
        <w:t>签订合同，</w:t>
      </w:r>
      <w:r>
        <w:rPr>
          <w:rFonts w:hint="eastAsia"/>
        </w:rPr>
        <w:t>甲方以银行承兑（6个月）支付乙方</w:t>
      </w:r>
      <w:r>
        <w:rPr>
          <w:rFonts w:hint="eastAsia"/>
          <w:lang w:val="en-GB"/>
        </w:rPr>
        <w:t>合同总价</w:t>
      </w:r>
      <w:r>
        <w:rPr>
          <w:rFonts w:hint="eastAsia"/>
        </w:rPr>
        <w:t>XX</w:t>
      </w:r>
      <w:r>
        <w:rPr>
          <w:rFonts w:hint="eastAsia"/>
          <w:lang w:val="en-GB"/>
        </w:rPr>
        <w:t xml:space="preserve"> % 做为预付款，即</w:t>
      </w:r>
      <w:r>
        <w:rPr>
          <w:rFonts w:hint="eastAsia"/>
        </w:rPr>
        <w:t>RMB XX元</w:t>
      </w:r>
      <w:r>
        <w:rPr>
          <w:rFonts w:hint="eastAsia"/>
          <w:lang w:val="en-GB"/>
        </w:rPr>
        <w:t>，（大写）：</w:t>
      </w:r>
      <w:r>
        <w:rPr>
          <w:rFonts w:hint="eastAsia"/>
        </w:rPr>
        <w:t>人民币XX 万元</w:t>
      </w:r>
      <w:r>
        <w:rPr>
          <w:rFonts w:hint="eastAsia"/>
          <w:lang w:val="en-GB"/>
        </w:rPr>
        <w:t>整），</w:t>
      </w:r>
      <w:r>
        <w:rPr>
          <w:rFonts w:hint="eastAsia"/>
        </w:rPr>
        <w:t>乙方10个日历日内开具等额的增值税发票交付甲方；</w:t>
      </w:r>
    </w:p>
    <w:p>
      <w:pPr>
        <w:ind w:firstLine="562"/>
        <w:rPr>
          <w:lang w:val="en-GB"/>
        </w:rPr>
      </w:pPr>
      <w:r>
        <w:rPr>
          <w:rFonts w:hint="eastAsia"/>
          <w:b/>
        </w:rPr>
        <w:t>2.发货款：</w:t>
      </w:r>
      <w:r>
        <w:rPr>
          <w:rFonts w:hint="eastAsia"/>
          <w:lang w:val="en-GB"/>
        </w:rPr>
        <w:t>设备</w:t>
      </w:r>
      <w:r>
        <w:rPr>
          <w:rFonts w:hint="eastAsia"/>
        </w:rPr>
        <w:t>制作完成后，乙方提前10个日历日通知甲方，甲方</w:t>
      </w:r>
      <w:r>
        <w:rPr>
          <w:rFonts w:hint="eastAsia"/>
          <w:lang w:val="en-GB"/>
        </w:rPr>
        <w:t>收到乙方开具的等额增值税专用发票后</w:t>
      </w:r>
      <w:r>
        <w:rPr>
          <w:rFonts w:hint="eastAsia"/>
        </w:rPr>
        <w:t>10个日历日内以银行承兑（6个月）支付乙方</w:t>
      </w:r>
      <w:r>
        <w:rPr>
          <w:rFonts w:hint="eastAsia"/>
          <w:lang w:val="en-GB"/>
        </w:rPr>
        <w:t>合同总价</w:t>
      </w:r>
      <w:r>
        <w:rPr>
          <w:rFonts w:hint="eastAsia"/>
        </w:rPr>
        <w:t>XX</w:t>
      </w:r>
      <w:r>
        <w:rPr>
          <w:rFonts w:hint="eastAsia"/>
          <w:lang w:val="en-GB"/>
        </w:rPr>
        <w:t xml:space="preserve"> % 的款项，即</w:t>
      </w:r>
      <w:r>
        <w:rPr>
          <w:rFonts w:hint="eastAsia"/>
        </w:rPr>
        <w:t>RMB XX 元</w:t>
      </w:r>
      <w:r>
        <w:rPr>
          <w:rFonts w:hint="eastAsia"/>
          <w:lang w:val="en-GB"/>
        </w:rPr>
        <w:t>，（大写）：</w:t>
      </w:r>
      <w:r>
        <w:rPr>
          <w:rFonts w:hint="eastAsia"/>
        </w:rPr>
        <w:t>人民币XX万</w:t>
      </w:r>
      <w:r>
        <w:rPr>
          <w:rFonts w:hint="eastAsia"/>
          <w:lang w:val="en-GB"/>
        </w:rPr>
        <w:t>元整）；</w:t>
      </w:r>
    </w:p>
    <w:p>
      <w:pPr>
        <w:ind w:firstLine="562"/>
        <w:rPr>
          <w:lang w:val="en-GB"/>
        </w:rPr>
      </w:pPr>
      <w:r>
        <w:rPr>
          <w:rFonts w:hint="eastAsia"/>
          <w:b/>
        </w:rPr>
        <w:t>3.验收款：</w:t>
      </w:r>
      <w:r>
        <w:rPr>
          <w:rFonts w:hint="eastAsia"/>
          <w:lang w:val="en-GB"/>
        </w:rPr>
        <w:t>设备</w:t>
      </w:r>
      <w:r>
        <w:rPr>
          <w:rFonts w:hint="eastAsia"/>
        </w:rPr>
        <w:t>安装调试完成后，并收到乙方开具的剩余全额增值税专用发票，甲方10个日历日内以银行承兑（6个月）支付乙方</w:t>
      </w:r>
      <w:r>
        <w:rPr>
          <w:rFonts w:hint="eastAsia"/>
          <w:lang w:val="en-GB"/>
        </w:rPr>
        <w:t>合同总价</w:t>
      </w:r>
      <w:r>
        <w:rPr>
          <w:rFonts w:hint="eastAsia"/>
        </w:rPr>
        <w:t>XX</w:t>
      </w:r>
      <w:r>
        <w:rPr>
          <w:rFonts w:hint="eastAsia"/>
          <w:lang w:val="en-GB"/>
        </w:rPr>
        <w:t>% 的款项，即</w:t>
      </w:r>
      <w:r>
        <w:rPr>
          <w:rFonts w:hint="eastAsia"/>
        </w:rPr>
        <w:t>RMB XX元</w:t>
      </w:r>
      <w:r>
        <w:rPr>
          <w:rFonts w:hint="eastAsia"/>
          <w:lang w:val="en-GB"/>
        </w:rPr>
        <w:t>，（大写）：</w:t>
      </w:r>
      <w:r>
        <w:rPr>
          <w:rFonts w:hint="eastAsia"/>
        </w:rPr>
        <w:t>人民币XX万</w:t>
      </w:r>
      <w:r>
        <w:rPr>
          <w:rFonts w:hint="eastAsia"/>
          <w:lang w:val="en-GB"/>
        </w:rPr>
        <w:t>元整）；</w:t>
      </w:r>
    </w:p>
    <w:p>
      <w:pPr>
        <w:ind w:firstLine="562"/>
        <w:rPr>
          <w:spacing w:val="-3"/>
          <w:lang w:val="en-GB"/>
        </w:rPr>
      </w:pPr>
      <w:r>
        <w:rPr>
          <w:rFonts w:hint="eastAsia"/>
          <w:b/>
        </w:rPr>
        <w:t>4.保固款：</w:t>
      </w:r>
      <w:r>
        <w:rPr>
          <w:rFonts w:hint="eastAsia"/>
        </w:rPr>
        <w:t>质保期期满后，双方确认无任何纠纷 15日历日内，</w:t>
      </w:r>
      <w:r>
        <w:rPr>
          <w:rFonts w:hint="eastAsia"/>
          <w:spacing w:val="-3"/>
        </w:rPr>
        <w:t>甲方支付乙方</w:t>
      </w:r>
      <w:r>
        <w:rPr>
          <w:rFonts w:hint="eastAsia"/>
        </w:rPr>
        <w:t>合同总价的XX %的款项</w:t>
      </w:r>
      <w:r>
        <w:rPr>
          <w:rFonts w:hint="eastAsia"/>
          <w:spacing w:val="-3"/>
          <w:lang w:val="en-GB"/>
        </w:rPr>
        <w:t>，即</w:t>
      </w:r>
      <w:r>
        <w:rPr>
          <w:rFonts w:hint="eastAsia"/>
        </w:rPr>
        <w:t>RMBXX元</w:t>
      </w:r>
      <w:r>
        <w:rPr>
          <w:rFonts w:hint="eastAsia"/>
          <w:spacing w:val="-3"/>
          <w:lang w:val="en-GB"/>
        </w:rPr>
        <w:t>，（大写）：</w:t>
      </w:r>
      <w:r>
        <w:rPr>
          <w:rFonts w:hint="eastAsia"/>
        </w:rPr>
        <w:t>人民币XX万元</w:t>
      </w:r>
      <w:r>
        <w:rPr>
          <w:rFonts w:hint="eastAsia"/>
          <w:spacing w:val="-3"/>
          <w:lang w:val="en-GB"/>
        </w:rPr>
        <w:t>整）。</w:t>
      </w:r>
    </w:p>
    <w:p>
      <w:pPr>
        <w:pStyle w:val="14"/>
        <w:ind w:left="560" w:firstLine="240"/>
      </w:pPr>
      <w:r>
        <w:rPr>
          <w:rFonts w:hint="eastAsia"/>
        </w:rPr>
        <w:t>（以上付款方式根据中标通知书）</w:t>
      </w:r>
    </w:p>
    <w:p>
      <w:r>
        <w:rPr>
          <w:rFonts w:hint="eastAsia"/>
        </w:rPr>
        <w:t>四、安装、调试和验收</w:t>
      </w:r>
    </w:p>
    <w:p>
      <w:r>
        <w:rPr>
          <w:rFonts w:hint="eastAsia"/>
        </w:rPr>
        <w:t>1.乙方负责设备安装及调试，负责卸车、吊装、搬运、报检及产生的费用；甲方负责水、电供应及产生的费用（</w:t>
      </w:r>
      <w:r>
        <w:rPr>
          <w:rFonts w:hint="eastAsia"/>
          <w:b/>
          <w:bCs/>
          <w:u w:val="single"/>
        </w:rPr>
        <w:t>或根据洽谈</w:t>
      </w:r>
      <w:r>
        <w:rPr>
          <w:rFonts w:hint="eastAsia"/>
        </w:rPr>
        <w:t>），且指定接口位置；</w:t>
      </w:r>
    </w:p>
    <w:p>
      <w:r>
        <w:rPr>
          <w:rFonts w:hint="eastAsia"/>
        </w:rPr>
        <w:t>2.安装调试时间：至XX年XX月XX日前安装及调试完成，甲方配合乙方调试；</w:t>
      </w:r>
    </w:p>
    <w:p>
      <w:r>
        <w:rPr>
          <w:rFonts w:hint="eastAsia"/>
        </w:rPr>
        <w:t>3.验收标准：双方共同依据设备技术标准进行设备的验收；</w:t>
      </w:r>
    </w:p>
    <w:p>
      <w:r>
        <w:rPr>
          <w:rFonts w:hint="eastAsia"/>
        </w:rPr>
        <w:t>4.乙方可将剩余材料、自带用于调试的工具带出厂区。</w:t>
      </w:r>
    </w:p>
    <w:p>
      <w:r>
        <w:rPr>
          <w:rFonts w:hint="eastAsia"/>
        </w:rPr>
        <w:t>五、设备技术标准</w:t>
      </w:r>
    </w:p>
    <w:p>
      <w:r>
        <w:rPr>
          <w:rFonts w:hint="eastAsia"/>
        </w:rPr>
        <w:t>1.以《技术附件》文件为准（</w:t>
      </w:r>
      <w:r>
        <w:rPr>
          <w:rFonts w:hint="eastAsia"/>
          <w:b/>
          <w:bCs/>
          <w:u w:val="single"/>
        </w:rPr>
        <w:t>若无技术附件，此项可列入技术要求</w:t>
      </w:r>
      <w:r>
        <w:rPr>
          <w:rFonts w:hint="eastAsia"/>
        </w:rPr>
        <w:t>），乙方必须保证合同标的产品的质量符合相关参数的要求，标的产品所使用的零配件需与规定的一致，否则按违约处理；</w:t>
      </w:r>
    </w:p>
    <w:p>
      <w:r>
        <w:rPr>
          <w:rFonts w:hint="eastAsia"/>
        </w:rPr>
        <w:t>2.乙方保证所交付的设备满足国家及甲方所在地的最新环保标准，否则按违约处理。</w:t>
      </w:r>
    </w:p>
    <w:p>
      <w:r>
        <w:rPr>
          <w:rFonts w:hint="eastAsia"/>
        </w:rPr>
        <w:t>六、培训与售后服务</w:t>
      </w:r>
    </w:p>
    <w:p>
      <w:r>
        <w:rPr>
          <w:rFonts w:hint="eastAsia"/>
        </w:rPr>
        <w:t>1.乙方负责免费对甲方技师的技术培训，并能使甲方技师达到独立操作及维护保养能力的水平，甲方指定机械、电气技师的具体人员，参与设备安装、调试的过程；</w:t>
      </w:r>
    </w:p>
    <w:p>
      <w:r>
        <w:rPr>
          <w:rFonts w:hint="eastAsia"/>
        </w:rPr>
        <w:t>2.保固期为设备验收合格后的12个月（以甲方出具的验收单为准）；</w:t>
      </w:r>
    </w:p>
    <w:p>
      <w:pPr>
        <w:rPr>
          <w:b/>
          <w:bCs/>
        </w:rPr>
      </w:pPr>
      <w:r>
        <w:rPr>
          <w:rFonts w:hint="eastAsia"/>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r>
        <w:rPr>
          <w:rFonts w:hint="eastAsia"/>
        </w:rPr>
        <w:t>七、安全事项</w:t>
      </w:r>
    </w:p>
    <w:p>
      <w:r>
        <w:rPr>
          <w:rFonts w:hint="eastAsia"/>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r>
        <w:rPr>
          <w:rFonts w:hint="eastAsia"/>
        </w:rPr>
        <w:t>八、违约责任</w:t>
      </w:r>
    </w:p>
    <w:p>
      <w:r>
        <w:rPr>
          <w:rFonts w:hint="eastAsia"/>
        </w:rPr>
        <w:t>1.非甲方原因，乙方未按约定时间完成设备交付、安装调试，每迟延一天向甲方支付合同总金额千分之五的违约金，甲方有权直接解除合同而无需承担任何责任；</w:t>
      </w:r>
    </w:p>
    <w:p>
      <w:r>
        <w:rPr>
          <w:rFonts w:hint="eastAsia"/>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r>
        <w:rPr>
          <w:rFonts w:hint="eastAsia"/>
        </w:rPr>
        <w:t>九、不可抗力</w:t>
      </w:r>
    </w:p>
    <w:p>
      <w:r>
        <w:rPr>
          <w:rFonts w:hint="eastAsia"/>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r>
        <w:rPr>
          <w:rFonts w:hint="eastAsia"/>
        </w:rPr>
        <w:t>十、知识产权</w:t>
      </w:r>
    </w:p>
    <w:p>
      <w:r>
        <w:rPr>
          <w:rFonts w:hint="eastAsia"/>
        </w:rPr>
        <w:t>1.乙方保证：设备不存在任何知识产权、所有权权利瑕疵，该设备及设备的销售不存在知识产权、所有权侵权行为。；</w:t>
      </w:r>
    </w:p>
    <w:p>
      <w:r>
        <w:rPr>
          <w:rFonts w:hint="eastAsia"/>
        </w:rPr>
        <w:t>2.侵权保证：当出现乙方设备及设备销售知识产权侵权情形（包括因甲方使用该设备而构成对他人知识产权侵犯为由被提起诉讼、仲裁或其它赔偿请求时），乙方应承担相应的赔偿责任。</w:t>
      </w:r>
    </w:p>
    <w:p>
      <w:r>
        <w:rPr>
          <w:rFonts w:hint="eastAsia"/>
        </w:rPr>
        <w:t>十一、争议解决条款</w:t>
      </w:r>
    </w:p>
    <w:p>
      <w:r>
        <w:rPr>
          <w:rFonts w:hint="eastAsia"/>
        </w:rPr>
        <w:t>本合同履约地：山东省招远市</w:t>
      </w:r>
    </w:p>
    <w:p>
      <w:r>
        <w:rPr>
          <w:rFonts w:hint="eastAsia"/>
        </w:rPr>
        <w:t>履行本合同的过程中如发生争议，双方应通过友好协商解决；协商不成，由合同履约地人民法院裁决。</w:t>
      </w:r>
    </w:p>
    <w:p>
      <w:r>
        <w:rPr>
          <w:rFonts w:hint="eastAsia"/>
        </w:rPr>
        <w:t>十二、反贿赂</w:t>
      </w:r>
    </w:p>
    <w:p>
      <w:r>
        <w:rPr>
          <w:rFonts w:hint="eastAsia"/>
        </w:rPr>
        <w:t>乙方承诺坚决杜绝向甲方业务人员及亲属赠送财物的贿赂行为，若有此行为，乙方</w:t>
      </w:r>
      <w:r>
        <w:rPr>
          <w:rFonts w:hint="eastAsia"/>
          <w:color w:val="000000"/>
          <w:kern w:val="0"/>
        </w:rPr>
        <w:t>同意按合同总额的50%</w:t>
      </w:r>
      <w:r>
        <w:rPr>
          <w:rFonts w:hint="eastAsia"/>
        </w:rPr>
        <w:t>，向甲方支付违约金并赔偿甲方损失，甲方有权从货款中直接扣除、解除合同并取消供货商资格。</w:t>
      </w:r>
    </w:p>
    <w:p>
      <w:pPr>
        <w:pStyle w:val="24"/>
        <w:numPr>
          <w:ilvl w:val="0"/>
          <w:numId w:val="9"/>
        </w:numPr>
      </w:pPr>
      <w:r>
        <w:rPr>
          <w:rFonts w:hint="eastAsia"/>
        </w:rPr>
        <w:t>保密</w:t>
      </w:r>
    </w:p>
    <w:p>
      <w:r>
        <w:rPr>
          <w:rFonts w:hint="eastAsia"/>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r>
        <w:rPr>
          <w:rFonts w:hint="eastAsia"/>
        </w:rPr>
        <w:t>十四、其它</w:t>
      </w:r>
    </w:p>
    <w:p>
      <w:r>
        <w:rPr>
          <w:rFonts w:hint="eastAsia"/>
        </w:rPr>
        <w:t>1.本合同一式3份，甲方2份，乙方1份，自双方签字盖章之日起生效；</w:t>
      </w:r>
    </w:p>
    <w:p>
      <w:r>
        <w:rPr>
          <w:rFonts w:hint="eastAsia"/>
        </w:rPr>
        <w:t>2.所有附件均经双方签字盖章，作为本合同不可分割的一部分；</w:t>
      </w:r>
    </w:p>
    <w:p>
      <w:r>
        <w:rPr>
          <w:rFonts w:hint="eastAsia"/>
        </w:rPr>
        <w:t>3.任何对本合同的修改和/或补充以书面形式经双方共同签字盖章后，都将具有同等法律效力。</w:t>
      </w:r>
    </w:p>
    <w:p>
      <w:r>
        <w:rPr>
          <w:rFonts w:hint="eastAsia"/>
        </w:rPr>
        <w:t>甲方：山东金宝电子有限公司（章）乙方：XX</w:t>
      </w:r>
      <w:r>
        <w:rPr>
          <w:rFonts w:hint="eastAsia"/>
        </w:rPr>
        <w:br w:type="textWrapping"/>
      </w:r>
      <w:r>
        <w:rPr>
          <w:rFonts w:hint="eastAsia"/>
        </w:rPr>
        <w:t>单位地址：招远市国大路268号单位地址：XX</w:t>
      </w:r>
      <w:r>
        <w:rPr>
          <w:rFonts w:hint="eastAsia"/>
        </w:rPr>
        <w:br w:type="textWrapping"/>
      </w:r>
      <w:r>
        <w:rPr>
          <w:rFonts w:hint="eastAsia"/>
        </w:rPr>
        <w:t>委托代理人签字：委托代理人签字：</w:t>
      </w:r>
    </w:p>
    <w:p>
      <w:r>
        <w:rPr>
          <w:rFonts w:hint="eastAsia"/>
        </w:rPr>
        <w:t>签字日期：签字日期：</w:t>
      </w:r>
    </w:p>
    <w:p>
      <w:r>
        <w:rPr>
          <w:rFonts w:hint="eastAsia"/>
        </w:rPr>
        <w:t>电</w:t>
      </w:r>
      <w:r>
        <w:rPr>
          <w:rFonts w:ascii="Calibri" w:hAnsi="Calibri" w:cs="Calibri"/>
        </w:rPr>
        <w:t> </w:t>
      </w:r>
      <w:r>
        <w:rPr>
          <w:rFonts w:hint="eastAsia"/>
        </w:rPr>
        <w:t>话：电</w:t>
      </w:r>
      <w:r>
        <w:rPr>
          <w:rFonts w:ascii="Calibri" w:hAnsi="Calibri" w:cs="Calibri"/>
        </w:rPr>
        <w:t> </w:t>
      </w:r>
      <w:r>
        <w:rPr>
          <w:rFonts w:hint="eastAsia"/>
        </w:rPr>
        <w:t>话：</w:t>
      </w:r>
      <w:r>
        <w:rPr>
          <w:rFonts w:hint="eastAsia"/>
        </w:rPr>
        <w:br w:type="textWrapping"/>
      </w:r>
      <w:r>
        <w:rPr>
          <w:rFonts w:hint="eastAsia"/>
        </w:rPr>
        <w:t>开户银行：工商银行招远支行开户银行：</w:t>
      </w:r>
    </w:p>
    <w:p>
      <w:r>
        <w:rPr>
          <w:rFonts w:hint="eastAsia"/>
        </w:rPr>
        <w:t>账</w:t>
      </w:r>
      <w:r>
        <w:rPr>
          <w:rFonts w:ascii="Calibri" w:hAnsi="Calibri" w:cs="Calibri"/>
        </w:rPr>
        <w:t> </w:t>
      </w:r>
      <w:r>
        <w:rPr>
          <w:rFonts w:hint="eastAsia"/>
        </w:rPr>
        <w:t>号：1606 0217 0902 4200 204    账</w:t>
      </w:r>
      <w:r>
        <w:rPr>
          <w:rFonts w:ascii="Calibri" w:hAnsi="Calibri" w:cs="Calibri"/>
        </w:rPr>
        <w:t> </w:t>
      </w:r>
      <w:r>
        <w:rPr>
          <w:rFonts w:hint="eastAsia"/>
        </w:rPr>
        <w:t>号：</w:t>
      </w:r>
    </w:p>
    <w:p>
      <w:r>
        <w:rPr>
          <w:rFonts w:hint="eastAsia"/>
        </w:rPr>
        <w:t>税</w:t>
      </w:r>
      <w:r>
        <w:rPr>
          <w:rFonts w:ascii="Calibri" w:hAnsi="Calibri" w:cs="Calibri"/>
        </w:rPr>
        <w:t> </w:t>
      </w:r>
      <w:r>
        <w:rPr>
          <w:rFonts w:hint="eastAsia"/>
        </w:rPr>
        <w:t>号：9137 0000 6134 2205 47     税</w:t>
      </w:r>
      <w:r>
        <w:rPr>
          <w:rFonts w:ascii="Calibri" w:hAnsi="Calibri" w:cs="Calibri"/>
        </w:rPr>
        <w:t> </w:t>
      </w:r>
      <w:r>
        <w:rPr>
          <w:rFonts w:hint="eastAsia"/>
        </w:rPr>
        <w:t>号：</w:t>
      </w:r>
    </w:p>
    <w:p>
      <w:pPr>
        <w:pStyle w:val="14"/>
        <w:ind w:left="560" w:firstLine="240"/>
      </w:pPr>
    </w:p>
    <w:p>
      <w:pPr>
        <w:pStyle w:val="14"/>
        <w:ind w:left="560" w:firstLine="240"/>
      </w:pPr>
    </w:p>
    <w:p>
      <w:pPr>
        <w:pStyle w:val="14"/>
        <w:ind w:left="560" w:firstLine="240"/>
      </w:pPr>
    </w:p>
    <w:p>
      <w:pPr>
        <w:pStyle w:val="14"/>
        <w:ind w:left="560" w:firstLine="240"/>
      </w:pPr>
      <w:r>
        <w:rPr>
          <w:rFonts w:hint="eastAsia"/>
        </w:rPr>
        <w:t>技术附件</w:t>
      </w:r>
    </w:p>
    <w:p>
      <w:pPr>
        <w:pStyle w:val="14"/>
        <w:numPr>
          <w:ilvl w:val="0"/>
          <w:numId w:val="10"/>
        </w:numPr>
        <w:ind w:leftChars="0" w:firstLineChars="0"/>
      </w:pPr>
      <w:r>
        <w:rPr>
          <w:rFonts w:hint="eastAsia"/>
        </w:rPr>
        <w:t>技术要求</w:t>
      </w:r>
    </w:p>
    <w:p>
      <w:pPr>
        <w:pStyle w:val="14"/>
        <w:numPr>
          <w:ilvl w:val="0"/>
          <w:numId w:val="10"/>
        </w:numPr>
        <w:ind w:leftChars="0" w:firstLineChars="0"/>
      </w:pPr>
      <w:r>
        <w:rPr>
          <w:rFonts w:hint="eastAsia"/>
        </w:rPr>
        <w:t>设备或布置图纸（若有）</w:t>
      </w:r>
    </w:p>
    <w:p>
      <w:pPr>
        <w:pStyle w:val="14"/>
        <w:numPr>
          <w:ilvl w:val="0"/>
          <w:numId w:val="10"/>
        </w:numPr>
        <w:ind w:leftChars="0" w:firstLineChars="0"/>
      </w:pPr>
      <w:r>
        <w:rPr>
          <w:rFonts w:hint="eastAsia"/>
        </w:rPr>
        <w:t>以下空白</w:t>
      </w:r>
    </w:p>
    <w:p>
      <w:pPr>
        <w:pStyle w:val="14"/>
        <w:ind w:left="560" w:firstLine="240"/>
      </w:pPr>
    </w:p>
    <w:p>
      <w:pPr>
        <w:pStyle w:val="14"/>
        <w:ind w:left="560" w:firstLine="240"/>
      </w:pPr>
    </w:p>
    <w:p>
      <w:pPr>
        <w:pStyle w:val="14"/>
        <w:ind w:left="560" w:firstLine="240"/>
      </w:pPr>
    </w:p>
    <w:p>
      <w:pPr>
        <w:pStyle w:val="14"/>
        <w:ind w:left="560" w:firstLine="240"/>
      </w:pPr>
    </w:p>
    <w:p>
      <w:pPr>
        <w:pStyle w:val="14"/>
        <w:ind w:left="560" w:firstLine="240"/>
      </w:pPr>
    </w:p>
    <w:p>
      <w:pPr>
        <w:pStyle w:val="14"/>
        <w:ind w:left="560" w:firstLine="240"/>
      </w:pPr>
      <w:r>
        <w:rPr>
          <w:rFonts w:hint="eastAsia"/>
        </w:rPr>
        <w:t>甲方合同章乙方合同章</w:t>
      </w:r>
    </w:p>
    <w:p>
      <w:pPr>
        <w:rPr>
          <w:snapToGrid w:val="0"/>
          <w:lang w:eastAsia="en-US"/>
        </w:rPr>
      </w:pPr>
    </w:p>
    <w:p>
      <w:pPr>
        <w:pStyle w:val="14"/>
        <w:ind w:left="560" w:firstLine="240"/>
      </w:pPr>
    </w:p>
    <w:sectPr>
      <w:headerReference r:id="rId7" w:type="first"/>
      <w:footerReference r:id="rId10" w:type="first"/>
      <w:headerReference r:id="rId5" w:type="default"/>
      <w:footerReference r:id="rId8" w:type="default"/>
      <w:headerReference r:id="rId6" w:type="even"/>
      <w:footerReference r:id="rId9" w:type="even"/>
      <w:pgSz w:w="11906" w:h="16838"/>
      <w:pgMar w:top="851" w:right="1021" w:bottom="851" w:left="96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560" w:firstLine="560"/>
      </w:pPr>
      <w:r>
        <w:separator/>
      </w:r>
    </w:p>
  </w:endnote>
  <w:endnote w:type="continuationSeparator" w:id="1">
    <w:p>
      <w:pPr>
        <w:spacing w:line="240" w:lineRule="auto"/>
        <w:ind w:left="56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ind w:firstLine="360"/>
        </w:pPr>
        <w:r>
          <w:fldChar w:fldCharType="begin"/>
        </w:r>
        <w:r>
          <w:instrText xml:space="preserve">PAGE   \* MERGEFORMAT</w:instrText>
        </w:r>
        <w:r>
          <w:fldChar w:fldCharType="separate"/>
        </w:r>
        <w:r>
          <w:rPr>
            <w:lang w:val="zh-CN"/>
          </w:rPr>
          <w:t>6</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560" w:firstLine="560"/>
      </w:pPr>
      <w:r>
        <w:separator/>
      </w:r>
    </w:p>
  </w:footnote>
  <w:footnote w:type="continuationSeparator" w:id="1">
    <w:p>
      <w:pPr>
        <w:spacing w:line="360" w:lineRule="auto"/>
        <w:ind w:left="56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A53E9564"/>
    <w:multiLevelType w:val="singleLevel"/>
    <w:tmpl w:val="A53E9564"/>
    <w:lvl w:ilvl="0" w:tentative="0">
      <w:start w:val="2"/>
      <w:numFmt w:val="chineseCounting"/>
      <w:suff w:val="nothing"/>
      <w:lvlText w:val="%1、"/>
      <w:lvlJc w:val="left"/>
      <w:rPr>
        <w:rFonts w:hint="eastAsia"/>
      </w:rPr>
    </w:lvl>
  </w:abstractNum>
  <w:abstractNum w:abstractNumId="2">
    <w:nsid w:val="0CB2AABC"/>
    <w:multiLevelType w:val="singleLevel"/>
    <w:tmpl w:val="0CB2AABC"/>
    <w:lvl w:ilvl="0" w:tentative="0">
      <w:start w:val="1"/>
      <w:numFmt w:val="decimal"/>
      <w:lvlText w:val="%1."/>
      <w:lvlJc w:val="left"/>
      <w:pPr>
        <w:tabs>
          <w:tab w:val="left" w:pos="312"/>
        </w:tabs>
      </w:pPr>
    </w:lvl>
  </w:abstractNum>
  <w:abstractNum w:abstractNumId="3">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9D25E89"/>
    <w:multiLevelType w:val="multilevel"/>
    <w:tmpl w:val="39D25E89"/>
    <w:lvl w:ilvl="0" w:tentative="0">
      <w:start w:val="7"/>
      <w:numFmt w:val="decimal"/>
      <w:lvlText w:val="%1、"/>
      <w:lvlJc w:val="left"/>
      <w:pPr>
        <w:ind w:left="1848" w:hanging="720"/>
      </w:pPr>
      <w:rPr>
        <w:rFonts w:hint="default"/>
      </w:rPr>
    </w:lvl>
    <w:lvl w:ilvl="1" w:tentative="0">
      <w:start w:val="1"/>
      <w:numFmt w:val="lowerLetter"/>
      <w:lvlText w:val="%2)"/>
      <w:lvlJc w:val="left"/>
      <w:pPr>
        <w:ind w:left="1968" w:hanging="420"/>
      </w:pPr>
    </w:lvl>
    <w:lvl w:ilvl="2" w:tentative="0">
      <w:start w:val="1"/>
      <w:numFmt w:val="lowerRoman"/>
      <w:lvlText w:val="%3."/>
      <w:lvlJc w:val="right"/>
      <w:pPr>
        <w:ind w:left="2388" w:hanging="420"/>
      </w:pPr>
    </w:lvl>
    <w:lvl w:ilvl="3" w:tentative="0">
      <w:start w:val="1"/>
      <w:numFmt w:val="decimal"/>
      <w:lvlText w:val="%4."/>
      <w:lvlJc w:val="left"/>
      <w:pPr>
        <w:ind w:left="2808" w:hanging="420"/>
      </w:pPr>
    </w:lvl>
    <w:lvl w:ilvl="4" w:tentative="0">
      <w:start w:val="1"/>
      <w:numFmt w:val="lowerLetter"/>
      <w:lvlText w:val="%5)"/>
      <w:lvlJc w:val="left"/>
      <w:pPr>
        <w:ind w:left="3228" w:hanging="420"/>
      </w:pPr>
    </w:lvl>
    <w:lvl w:ilvl="5" w:tentative="0">
      <w:start w:val="1"/>
      <w:numFmt w:val="lowerRoman"/>
      <w:lvlText w:val="%6."/>
      <w:lvlJc w:val="right"/>
      <w:pPr>
        <w:ind w:left="3648" w:hanging="420"/>
      </w:pPr>
    </w:lvl>
    <w:lvl w:ilvl="6" w:tentative="0">
      <w:start w:val="1"/>
      <w:numFmt w:val="decimal"/>
      <w:lvlText w:val="%7."/>
      <w:lvlJc w:val="left"/>
      <w:pPr>
        <w:ind w:left="4068" w:hanging="420"/>
      </w:pPr>
    </w:lvl>
    <w:lvl w:ilvl="7" w:tentative="0">
      <w:start w:val="1"/>
      <w:numFmt w:val="lowerLetter"/>
      <w:lvlText w:val="%8)"/>
      <w:lvlJc w:val="left"/>
      <w:pPr>
        <w:ind w:left="4488" w:hanging="420"/>
      </w:pPr>
    </w:lvl>
    <w:lvl w:ilvl="8" w:tentative="0">
      <w:start w:val="1"/>
      <w:numFmt w:val="lowerRoman"/>
      <w:lvlText w:val="%9."/>
      <w:lvlJc w:val="right"/>
      <w:pPr>
        <w:ind w:left="4908" w:hanging="420"/>
      </w:pPr>
    </w:lvl>
  </w:abstractNum>
  <w:abstractNum w:abstractNumId="5">
    <w:nsid w:val="39F847BF"/>
    <w:multiLevelType w:val="singleLevel"/>
    <w:tmpl w:val="39F847BF"/>
    <w:lvl w:ilvl="0" w:tentative="0">
      <w:start w:val="13"/>
      <w:numFmt w:val="chineseCounting"/>
      <w:suff w:val="nothing"/>
      <w:lvlText w:val="%1、"/>
      <w:lvlJc w:val="left"/>
      <w:rPr>
        <w:rFonts w:hint="eastAsia"/>
      </w:rPr>
    </w:lvl>
  </w:abstractNum>
  <w:abstractNum w:abstractNumId="6">
    <w:nsid w:val="5AF4EEE7"/>
    <w:multiLevelType w:val="singleLevel"/>
    <w:tmpl w:val="5AF4EEE7"/>
    <w:lvl w:ilvl="0" w:tentative="0">
      <w:start w:val="1"/>
      <w:numFmt w:val="chineseCounting"/>
      <w:suff w:val="nothing"/>
      <w:lvlText w:val="%1、"/>
      <w:lvlJc w:val="left"/>
    </w:lvl>
  </w:abstractNum>
  <w:abstractNum w:abstractNumId="7">
    <w:nsid w:val="5AF4F296"/>
    <w:multiLevelType w:val="singleLevel"/>
    <w:tmpl w:val="5AF4F296"/>
    <w:lvl w:ilvl="0" w:tentative="0">
      <w:start w:val="1"/>
      <w:numFmt w:val="decimal"/>
      <w:suff w:val="nothing"/>
      <w:lvlText w:val="%1、"/>
      <w:lvlJc w:val="left"/>
    </w:lvl>
  </w:abstractNum>
  <w:abstractNum w:abstractNumId="8">
    <w:nsid w:val="5AF4F74F"/>
    <w:multiLevelType w:val="singleLevel"/>
    <w:tmpl w:val="5AF4F74F"/>
    <w:lvl w:ilvl="0" w:tentative="0">
      <w:start w:val="2"/>
      <w:numFmt w:val="decimal"/>
      <w:suff w:val="nothing"/>
      <w:lvlText w:val="%1、"/>
      <w:lvlJc w:val="left"/>
    </w:lvl>
  </w:abstractNum>
  <w:abstractNum w:abstractNumId="9">
    <w:nsid w:val="654F62E2"/>
    <w:multiLevelType w:val="multilevel"/>
    <w:tmpl w:val="654F62E2"/>
    <w:lvl w:ilvl="0" w:tentative="0">
      <w:start w:val="1"/>
      <w:numFmt w:val="decimal"/>
      <w:pStyle w:val="24"/>
      <w:lvlText w:val="（%1）"/>
      <w:lvlJc w:val="left"/>
      <w:pPr>
        <w:ind w:left="1848" w:hanging="720"/>
      </w:pPr>
      <w:rPr>
        <w:rFonts w:hint="default"/>
        <w:lang w:val="en-US"/>
      </w:rPr>
    </w:lvl>
    <w:lvl w:ilvl="1" w:tentative="0">
      <w:start w:val="1"/>
      <w:numFmt w:val="lowerLetter"/>
      <w:lvlText w:val="%2)"/>
      <w:lvlJc w:val="left"/>
      <w:pPr>
        <w:ind w:left="1968" w:hanging="420"/>
      </w:pPr>
    </w:lvl>
    <w:lvl w:ilvl="2" w:tentative="0">
      <w:start w:val="1"/>
      <w:numFmt w:val="lowerRoman"/>
      <w:lvlText w:val="%3."/>
      <w:lvlJc w:val="right"/>
      <w:pPr>
        <w:ind w:left="2388" w:hanging="420"/>
      </w:pPr>
    </w:lvl>
    <w:lvl w:ilvl="3" w:tentative="0">
      <w:start w:val="1"/>
      <w:numFmt w:val="decimal"/>
      <w:lvlText w:val="%4."/>
      <w:lvlJc w:val="left"/>
      <w:pPr>
        <w:ind w:left="2808" w:hanging="420"/>
      </w:pPr>
    </w:lvl>
    <w:lvl w:ilvl="4" w:tentative="0">
      <w:start w:val="1"/>
      <w:numFmt w:val="lowerLetter"/>
      <w:lvlText w:val="%5)"/>
      <w:lvlJc w:val="left"/>
      <w:pPr>
        <w:ind w:left="3228" w:hanging="420"/>
      </w:pPr>
    </w:lvl>
    <w:lvl w:ilvl="5" w:tentative="0">
      <w:start w:val="1"/>
      <w:numFmt w:val="lowerRoman"/>
      <w:lvlText w:val="%6."/>
      <w:lvlJc w:val="right"/>
      <w:pPr>
        <w:ind w:left="3648" w:hanging="420"/>
      </w:pPr>
    </w:lvl>
    <w:lvl w:ilvl="6" w:tentative="0">
      <w:start w:val="1"/>
      <w:numFmt w:val="decimal"/>
      <w:lvlText w:val="%7."/>
      <w:lvlJc w:val="left"/>
      <w:pPr>
        <w:ind w:left="4068" w:hanging="420"/>
      </w:pPr>
    </w:lvl>
    <w:lvl w:ilvl="7" w:tentative="0">
      <w:start w:val="1"/>
      <w:numFmt w:val="lowerLetter"/>
      <w:lvlText w:val="%8)"/>
      <w:lvlJc w:val="left"/>
      <w:pPr>
        <w:ind w:left="4488" w:hanging="420"/>
      </w:pPr>
    </w:lvl>
    <w:lvl w:ilvl="8" w:tentative="0">
      <w:start w:val="1"/>
      <w:numFmt w:val="lowerRoman"/>
      <w:lvlText w:val="%9."/>
      <w:lvlJc w:val="right"/>
      <w:pPr>
        <w:ind w:left="4908" w:hanging="420"/>
      </w:pPr>
    </w:lvl>
  </w:abstractNum>
  <w:num w:numId="1">
    <w:abstractNumId w:val="9"/>
  </w:num>
  <w:num w:numId="2">
    <w:abstractNumId w:val="3"/>
  </w:num>
  <w:num w:numId="3">
    <w:abstractNumId w:val="1"/>
  </w:num>
  <w:num w:numId="4">
    <w:abstractNumId w:val="0"/>
  </w:num>
  <w:num w:numId="5">
    <w:abstractNumId w:val="6"/>
  </w:num>
  <w:num w:numId="6">
    <w:abstractNumId w:val="7"/>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10475"/>
    <w:rsid w:val="000140A9"/>
    <w:rsid w:val="00016D50"/>
    <w:rsid w:val="0002088C"/>
    <w:rsid w:val="0002639C"/>
    <w:rsid w:val="00027922"/>
    <w:rsid w:val="00030523"/>
    <w:rsid w:val="00036F46"/>
    <w:rsid w:val="000400EC"/>
    <w:rsid w:val="00041EE4"/>
    <w:rsid w:val="000448D3"/>
    <w:rsid w:val="000579EA"/>
    <w:rsid w:val="000668E7"/>
    <w:rsid w:val="00066B22"/>
    <w:rsid w:val="00073964"/>
    <w:rsid w:val="000748EC"/>
    <w:rsid w:val="00082C71"/>
    <w:rsid w:val="00085DEC"/>
    <w:rsid w:val="000A04FB"/>
    <w:rsid w:val="000A36E6"/>
    <w:rsid w:val="000C2D34"/>
    <w:rsid w:val="000C6612"/>
    <w:rsid w:val="000D54A9"/>
    <w:rsid w:val="000D6EC5"/>
    <w:rsid w:val="000E0902"/>
    <w:rsid w:val="000E33AC"/>
    <w:rsid w:val="000F1A23"/>
    <w:rsid w:val="000F2FB0"/>
    <w:rsid w:val="0010092D"/>
    <w:rsid w:val="001217FC"/>
    <w:rsid w:val="0013257F"/>
    <w:rsid w:val="0013572F"/>
    <w:rsid w:val="00142A98"/>
    <w:rsid w:val="00147373"/>
    <w:rsid w:val="00151284"/>
    <w:rsid w:val="0015334E"/>
    <w:rsid w:val="00153B2F"/>
    <w:rsid w:val="001544D9"/>
    <w:rsid w:val="001715AF"/>
    <w:rsid w:val="00176660"/>
    <w:rsid w:val="00177105"/>
    <w:rsid w:val="00177883"/>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27709"/>
    <w:rsid w:val="00242018"/>
    <w:rsid w:val="002427B8"/>
    <w:rsid w:val="0025486A"/>
    <w:rsid w:val="00264A49"/>
    <w:rsid w:val="002A0CA1"/>
    <w:rsid w:val="002B1690"/>
    <w:rsid w:val="002D2480"/>
    <w:rsid w:val="002D27AF"/>
    <w:rsid w:val="002E04CD"/>
    <w:rsid w:val="002F2FAE"/>
    <w:rsid w:val="002F3B4E"/>
    <w:rsid w:val="002F48A7"/>
    <w:rsid w:val="002F5ABB"/>
    <w:rsid w:val="00306EC9"/>
    <w:rsid w:val="00311848"/>
    <w:rsid w:val="0031742A"/>
    <w:rsid w:val="0032164C"/>
    <w:rsid w:val="00322BF5"/>
    <w:rsid w:val="003340A6"/>
    <w:rsid w:val="0034629D"/>
    <w:rsid w:val="00346DF0"/>
    <w:rsid w:val="00351879"/>
    <w:rsid w:val="00353AE1"/>
    <w:rsid w:val="00355526"/>
    <w:rsid w:val="00360FD3"/>
    <w:rsid w:val="00363C63"/>
    <w:rsid w:val="003750BF"/>
    <w:rsid w:val="00375977"/>
    <w:rsid w:val="003761A2"/>
    <w:rsid w:val="00385165"/>
    <w:rsid w:val="00395CFB"/>
    <w:rsid w:val="003A42FB"/>
    <w:rsid w:val="003E7C96"/>
    <w:rsid w:val="003F2FFF"/>
    <w:rsid w:val="00401E48"/>
    <w:rsid w:val="004227BF"/>
    <w:rsid w:val="00434F86"/>
    <w:rsid w:val="00442BA8"/>
    <w:rsid w:val="004452CC"/>
    <w:rsid w:val="00447816"/>
    <w:rsid w:val="00481206"/>
    <w:rsid w:val="004815E2"/>
    <w:rsid w:val="0048716E"/>
    <w:rsid w:val="00491715"/>
    <w:rsid w:val="00496BF6"/>
    <w:rsid w:val="004C1E7C"/>
    <w:rsid w:val="004C1FC6"/>
    <w:rsid w:val="004D7CF2"/>
    <w:rsid w:val="004E4C85"/>
    <w:rsid w:val="004E65D5"/>
    <w:rsid w:val="004E7C03"/>
    <w:rsid w:val="004F2EB8"/>
    <w:rsid w:val="005004FF"/>
    <w:rsid w:val="00505E31"/>
    <w:rsid w:val="00515A96"/>
    <w:rsid w:val="0052603E"/>
    <w:rsid w:val="0053237F"/>
    <w:rsid w:val="00532B15"/>
    <w:rsid w:val="00536026"/>
    <w:rsid w:val="00537EB3"/>
    <w:rsid w:val="00543389"/>
    <w:rsid w:val="00544194"/>
    <w:rsid w:val="00545345"/>
    <w:rsid w:val="005504C4"/>
    <w:rsid w:val="00563C46"/>
    <w:rsid w:val="0057142E"/>
    <w:rsid w:val="00596B34"/>
    <w:rsid w:val="005A2500"/>
    <w:rsid w:val="005A429B"/>
    <w:rsid w:val="005B5982"/>
    <w:rsid w:val="005B5E50"/>
    <w:rsid w:val="005D1CFE"/>
    <w:rsid w:val="005D32F2"/>
    <w:rsid w:val="005D5885"/>
    <w:rsid w:val="005D6AA5"/>
    <w:rsid w:val="005E2E79"/>
    <w:rsid w:val="005E61F2"/>
    <w:rsid w:val="005E6B4B"/>
    <w:rsid w:val="005E7D95"/>
    <w:rsid w:val="006033A1"/>
    <w:rsid w:val="00623702"/>
    <w:rsid w:val="00624F66"/>
    <w:rsid w:val="0062622B"/>
    <w:rsid w:val="00641833"/>
    <w:rsid w:val="00643949"/>
    <w:rsid w:val="006458A9"/>
    <w:rsid w:val="00651743"/>
    <w:rsid w:val="00654A9D"/>
    <w:rsid w:val="00655BEE"/>
    <w:rsid w:val="00663003"/>
    <w:rsid w:val="00670B15"/>
    <w:rsid w:val="00671045"/>
    <w:rsid w:val="00673247"/>
    <w:rsid w:val="00674491"/>
    <w:rsid w:val="0069446D"/>
    <w:rsid w:val="006978C7"/>
    <w:rsid w:val="006A5A8E"/>
    <w:rsid w:val="006A6992"/>
    <w:rsid w:val="006B2553"/>
    <w:rsid w:val="006C1E9F"/>
    <w:rsid w:val="006D1F3B"/>
    <w:rsid w:val="006D6272"/>
    <w:rsid w:val="006F2E9D"/>
    <w:rsid w:val="006F3A14"/>
    <w:rsid w:val="006F569A"/>
    <w:rsid w:val="00706972"/>
    <w:rsid w:val="007106C3"/>
    <w:rsid w:val="00711421"/>
    <w:rsid w:val="00722FE0"/>
    <w:rsid w:val="0074530B"/>
    <w:rsid w:val="00746246"/>
    <w:rsid w:val="007576FD"/>
    <w:rsid w:val="00764464"/>
    <w:rsid w:val="00770C6D"/>
    <w:rsid w:val="0077320F"/>
    <w:rsid w:val="007858B7"/>
    <w:rsid w:val="007879AB"/>
    <w:rsid w:val="007A7E3F"/>
    <w:rsid w:val="007B17D6"/>
    <w:rsid w:val="007B3AAB"/>
    <w:rsid w:val="007B50D0"/>
    <w:rsid w:val="007C5761"/>
    <w:rsid w:val="007D3EC9"/>
    <w:rsid w:val="007D5E12"/>
    <w:rsid w:val="007F32AC"/>
    <w:rsid w:val="00800B65"/>
    <w:rsid w:val="00807D12"/>
    <w:rsid w:val="00810526"/>
    <w:rsid w:val="00812E9E"/>
    <w:rsid w:val="0081621E"/>
    <w:rsid w:val="00817DDF"/>
    <w:rsid w:val="008269DC"/>
    <w:rsid w:val="00827E5A"/>
    <w:rsid w:val="00835155"/>
    <w:rsid w:val="00845EE0"/>
    <w:rsid w:val="00877824"/>
    <w:rsid w:val="008814AF"/>
    <w:rsid w:val="00881C03"/>
    <w:rsid w:val="008840A4"/>
    <w:rsid w:val="008847CC"/>
    <w:rsid w:val="00891672"/>
    <w:rsid w:val="00891C45"/>
    <w:rsid w:val="00891DA5"/>
    <w:rsid w:val="00894F8F"/>
    <w:rsid w:val="008954C4"/>
    <w:rsid w:val="0089579B"/>
    <w:rsid w:val="008A01C9"/>
    <w:rsid w:val="008B1C39"/>
    <w:rsid w:val="008B5522"/>
    <w:rsid w:val="008C1FCD"/>
    <w:rsid w:val="008C552F"/>
    <w:rsid w:val="008D2661"/>
    <w:rsid w:val="008D3C39"/>
    <w:rsid w:val="008E1184"/>
    <w:rsid w:val="008E2CE1"/>
    <w:rsid w:val="008E7E52"/>
    <w:rsid w:val="008F6A87"/>
    <w:rsid w:val="008F7671"/>
    <w:rsid w:val="00910DBB"/>
    <w:rsid w:val="00912E27"/>
    <w:rsid w:val="009164F6"/>
    <w:rsid w:val="00924D21"/>
    <w:rsid w:val="0092669F"/>
    <w:rsid w:val="00933095"/>
    <w:rsid w:val="0093535F"/>
    <w:rsid w:val="0095248A"/>
    <w:rsid w:val="00953758"/>
    <w:rsid w:val="00957600"/>
    <w:rsid w:val="009602C4"/>
    <w:rsid w:val="00963A40"/>
    <w:rsid w:val="009650B7"/>
    <w:rsid w:val="00970DBD"/>
    <w:rsid w:val="00975A8E"/>
    <w:rsid w:val="009844A1"/>
    <w:rsid w:val="0098763A"/>
    <w:rsid w:val="00992878"/>
    <w:rsid w:val="009971E6"/>
    <w:rsid w:val="009B67B8"/>
    <w:rsid w:val="009D5B70"/>
    <w:rsid w:val="009D6632"/>
    <w:rsid w:val="009E1157"/>
    <w:rsid w:val="009E1A4D"/>
    <w:rsid w:val="009E4242"/>
    <w:rsid w:val="009F5CA6"/>
    <w:rsid w:val="00A0490F"/>
    <w:rsid w:val="00A1408C"/>
    <w:rsid w:val="00A156D3"/>
    <w:rsid w:val="00A23F9A"/>
    <w:rsid w:val="00A37EC4"/>
    <w:rsid w:val="00A42BE6"/>
    <w:rsid w:val="00A550B3"/>
    <w:rsid w:val="00A6047A"/>
    <w:rsid w:val="00A65AC5"/>
    <w:rsid w:val="00A72CEF"/>
    <w:rsid w:val="00A77C00"/>
    <w:rsid w:val="00A80462"/>
    <w:rsid w:val="00A96092"/>
    <w:rsid w:val="00AA2270"/>
    <w:rsid w:val="00AA37F6"/>
    <w:rsid w:val="00AB6AF4"/>
    <w:rsid w:val="00AC0A0D"/>
    <w:rsid w:val="00AD119B"/>
    <w:rsid w:val="00AD3E33"/>
    <w:rsid w:val="00AD5651"/>
    <w:rsid w:val="00AE7E20"/>
    <w:rsid w:val="00B02199"/>
    <w:rsid w:val="00B02A04"/>
    <w:rsid w:val="00B10A69"/>
    <w:rsid w:val="00B12C91"/>
    <w:rsid w:val="00B142FC"/>
    <w:rsid w:val="00B14D77"/>
    <w:rsid w:val="00B23A37"/>
    <w:rsid w:val="00B25BF5"/>
    <w:rsid w:val="00B30B3D"/>
    <w:rsid w:val="00B3298E"/>
    <w:rsid w:val="00B37251"/>
    <w:rsid w:val="00B37A75"/>
    <w:rsid w:val="00B45E35"/>
    <w:rsid w:val="00B637ED"/>
    <w:rsid w:val="00B64126"/>
    <w:rsid w:val="00B67662"/>
    <w:rsid w:val="00B7015D"/>
    <w:rsid w:val="00B7100A"/>
    <w:rsid w:val="00B7152E"/>
    <w:rsid w:val="00B75E47"/>
    <w:rsid w:val="00B858A1"/>
    <w:rsid w:val="00BA1AAF"/>
    <w:rsid w:val="00BB3E15"/>
    <w:rsid w:val="00BE0350"/>
    <w:rsid w:val="00BE2C08"/>
    <w:rsid w:val="00C0034E"/>
    <w:rsid w:val="00C01070"/>
    <w:rsid w:val="00C035CB"/>
    <w:rsid w:val="00C04317"/>
    <w:rsid w:val="00C13764"/>
    <w:rsid w:val="00C327A2"/>
    <w:rsid w:val="00C354EF"/>
    <w:rsid w:val="00C54657"/>
    <w:rsid w:val="00C56EFB"/>
    <w:rsid w:val="00C61559"/>
    <w:rsid w:val="00C756C1"/>
    <w:rsid w:val="00C843D9"/>
    <w:rsid w:val="00C84B6A"/>
    <w:rsid w:val="00C867AC"/>
    <w:rsid w:val="00CA0540"/>
    <w:rsid w:val="00CA062E"/>
    <w:rsid w:val="00CA1D42"/>
    <w:rsid w:val="00CA3662"/>
    <w:rsid w:val="00CA3E05"/>
    <w:rsid w:val="00CA528B"/>
    <w:rsid w:val="00CA7FE7"/>
    <w:rsid w:val="00CB7709"/>
    <w:rsid w:val="00CD3A84"/>
    <w:rsid w:val="00CD6F7D"/>
    <w:rsid w:val="00D02618"/>
    <w:rsid w:val="00D029AD"/>
    <w:rsid w:val="00D23019"/>
    <w:rsid w:val="00D2706D"/>
    <w:rsid w:val="00D3366E"/>
    <w:rsid w:val="00D436FA"/>
    <w:rsid w:val="00D44861"/>
    <w:rsid w:val="00D45633"/>
    <w:rsid w:val="00D51428"/>
    <w:rsid w:val="00D550B7"/>
    <w:rsid w:val="00D603D9"/>
    <w:rsid w:val="00D626FF"/>
    <w:rsid w:val="00D64CEE"/>
    <w:rsid w:val="00D67CFC"/>
    <w:rsid w:val="00D76984"/>
    <w:rsid w:val="00D813B1"/>
    <w:rsid w:val="00D90689"/>
    <w:rsid w:val="00DA4593"/>
    <w:rsid w:val="00DB4269"/>
    <w:rsid w:val="00DC474F"/>
    <w:rsid w:val="00DC4BAB"/>
    <w:rsid w:val="00DE7334"/>
    <w:rsid w:val="00DF240E"/>
    <w:rsid w:val="00DF31B7"/>
    <w:rsid w:val="00E01D11"/>
    <w:rsid w:val="00E02472"/>
    <w:rsid w:val="00E108FE"/>
    <w:rsid w:val="00E123D8"/>
    <w:rsid w:val="00E15EAC"/>
    <w:rsid w:val="00E225CA"/>
    <w:rsid w:val="00E3453F"/>
    <w:rsid w:val="00E43810"/>
    <w:rsid w:val="00E47AC3"/>
    <w:rsid w:val="00E47D2E"/>
    <w:rsid w:val="00E51EA2"/>
    <w:rsid w:val="00E602BD"/>
    <w:rsid w:val="00E713E9"/>
    <w:rsid w:val="00E80FFB"/>
    <w:rsid w:val="00E87016"/>
    <w:rsid w:val="00E95A12"/>
    <w:rsid w:val="00EA0002"/>
    <w:rsid w:val="00EA27B6"/>
    <w:rsid w:val="00EB43AF"/>
    <w:rsid w:val="00EB4919"/>
    <w:rsid w:val="00EB5DAE"/>
    <w:rsid w:val="00EB6A4E"/>
    <w:rsid w:val="00EB7612"/>
    <w:rsid w:val="00EC43BF"/>
    <w:rsid w:val="00EC75FB"/>
    <w:rsid w:val="00ED6B4A"/>
    <w:rsid w:val="00EE078C"/>
    <w:rsid w:val="00EE66BD"/>
    <w:rsid w:val="00EF3A07"/>
    <w:rsid w:val="00F04AE1"/>
    <w:rsid w:val="00F07CD0"/>
    <w:rsid w:val="00F1223D"/>
    <w:rsid w:val="00F12F4E"/>
    <w:rsid w:val="00F14018"/>
    <w:rsid w:val="00F20309"/>
    <w:rsid w:val="00F21EB9"/>
    <w:rsid w:val="00F3548F"/>
    <w:rsid w:val="00F63D41"/>
    <w:rsid w:val="00F65778"/>
    <w:rsid w:val="00F87508"/>
    <w:rsid w:val="00F90302"/>
    <w:rsid w:val="00F9277F"/>
    <w:rsid w:val="00F9392B"/>
    <w:rsid w:val="00F94F76"/>
    <w:rsid w:val="00F95172"/>
    <w:rsid w:val="00FB6232"/>
    <w:rsid w:val="00FB6A20"/>
    <w:rsid w:val="00FC78C9"/>
    <w:rsid w:val="00FD03BA"/>
    <w:rsid w:val="00FE0EAB"/>
    <w:rsid w:val="00FE7735"/>
    <w:rsid w:val="00FF037C"/>
    <w:rsid w:val="00FF3C3B"/>
    <w:rsid w:val="00FF5E3A"/>
    <w:rsid w:val="0500591A"/>
    <w:rsid w:val="052F7BE9"/>
    <w:rsid w:val="053A573F"/>
    <w:rsid w:val="07E354E8"/>
    <w:rsid w:val="098B184A"/>
    <w:rsid w:val="0ABC4576"/>
    <w:rsid w:val="0DB77E27"/>
    <w:rsid w:val="107E1436"/>
    <w:rsid w:val="107F16C6"/>
    <w:rsid w:val="12D04A99"/>
    <w:rsid w:val="14D70820"/>
    <w:rsid w:val="157132A2"/>
    <w:rsid w:val="157955E3"/>
    <w:rsid w:val="18AB3EEC"/>
    <w:rsid w:val="199D333E"/>
    <w:rsid w:val="1DF94253"/>
    <w:rsid w:val="1E0848A5"/>
    <w:rsid w:val="1E3F18D8"/>
    <w:rsid w:val="1F456344"/>
    <w:rsid w:val="20E33281"/>
    <w:rsid w:val="20F626D9"/>
    <w:rsid w:val="219A24C7"/>
    <w:rsid w:val="22131356"/>
    <w:rsid w:val="233D6EE4"/>
    <w:rsid w:val="23557DEB"/>
    <w:rsid w:val="24231D8E"/>
    <w:rsid w:val="25915A0E"/>
    <w:rsid w:val="261A4D4C"/>
    <w:rsid w:val="27C33CA0"/>
    <w:rsid w:val="2A386D15"/>
    <w:rsid w:val="2A6A5A19"/>
    <w:rsid w:val="2ABA0EBA"/>
    <w:rsid w:val="2B5108D7"/>
    <w:rsid w:val="2B7C2FDF"/>
    <w:rsid w:val="2BE66046"/>
    <w:rsid w:val="2E6B1950"/>
    <w:rsid w:val="2F233FFE"/>
    <w:rsid w:val="313B2C93"/>
    <w:rsid w:val="31B30842"/>
    <w:rsid w:val="3202624E"/>
    <w:rsid w:val="34377F50"/>
    <w:rsid w:val="39A95284"/>
    <w:rsid w:val="3AE27DDA"/>
    <w:rsid w:val="3DEB5F3C"/>
    <w:rsid w:val="3E25152A"/>
    <w:rsid w:val="3FFA719D"/>
    <w:rsid w:val="406C535E"/>
    <w:rsid w:val="41886A2A"/>
    <w:rsid w:val="44CD2D3A"/>
    <w:rsid w:val="45011451"/>
    <w:rsid w:val="49586F36"/>
    <w:rsid w:val="4AC23C30"/>
    <w:rsid w:val="4CA95EBA"/>
    <w:rsid w:val="4D7A1DA6"/>
    <w:rsid w:val="4DE82D2A"/>
    <w:rsid w:val="4DFC6236"/>
    <w:rsid w:val="4FF86569"/>
    <w:rsid w:val="50436CA8"/>
    <w:rsid w:val="51AD6F01"/>
    <w:rsid w:val="52440DDA"/>
    <w:rsid w:val="52A20B54"/>
    <w:rsid w:val="52D954E2"/>
    <w:rsid w:val="538B5D6C"/>
    <w:rsid w:val="546759DA"/>
    <w:rsid w:val="547C4E2A"/>
    <w:rsid w:val="54C67B58"/>
    <w:rsid w:val="54CA7E29"/>
    <w:rsid w:val="5A4A5760"/>
    <w:rsid w:val="5B180457"/>
    <w:rsid w:val="5B6B109C"/>
    <w:rsid w:val="5D054434"/>
    <w:rsid w:val="5D21410D"/>
    <w:rsid w:val="5EA87FAD"/>
    <w:rsid w:val="636546D8"/>
    <w:rsid w:val="64AB558A"/>
    <w:rsid w:val="66511196"/>
    <w:rsid w:val="67EB5513"/>
    <w:rsid w:val="6A352BFB"/>
    <w:rsid w:val="6ABC2F65"/>
    <w:rsid w:val="6DC2661B"/>
    <w:rsid w:val="702A6CD8"/>
    <w:rsid w:val="70770F9D"/>
    <w:rsid w:val="712C5A62"/>
    <w:rsid w:val="7452317D"/>
    <w:rsid w:val="753D7DC7"/>
    <w:rsid w:val="75936E93"/>
    <w:rsid w:val="760A5128"/>
    <w:rsid w:val="766909D3"/>
    <w:rsid w:val="78105C89"/>
    <w:rsid w:val="78F207DF"/>
    <w:rsid w:val="79E26041"/>
    <w:rsid w:val="7BAD6556"/>
    <w:rsid w:val="7E355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560" w:leftChars="200" w:firstLine="560" w:firstLineChars="200"/>
      <w:jc w:val="both"/>
    </w:pPr>
    <w:rPr>
      <w:rFonts w:ascii="仿宋" w:hAnsi="仿宋" w:eastAsia="仿宋" w:cs="宋体"/>
      <w:kern w:val="2"/>
      <w:sz w:val="28"/>
      <w:szCs w:val="28"/>
      <w:lang w:val="en-US" w:eastAsia="zh-CN" w:bidi="ar-SA"/>
    </w:rPr>
  </w:style>
  <w:style w:type="paragraph" w:styleId="2">
    <w:name w:val="heading 1"/>
    <w:basedOn w:val="1"/>
    <w:next w:val="1"/>
    <w:link w:val="27"/>
    <w:autoRedefine/>
    <w:qFormat/>
    <w:uiPriority w:val="0"/>
    <w:pPr>
      <w:keepNext/>
      <w:jc w:val="center"/>
      <w:outlineLvl w:val="0"/>
    </w:pPr>
    <w:rPr>
      <w:rFonts w:ascii="Times New Roman" w:hAnsi="Times New Roman" w:cs="Times New Roman"/>
      <w:b/>
      <w:bCs/>
    </w:rPr>
  </w:style>
  <w:style w:type="paragraph" w:styleId="3">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annotation text"/>
    <w:basedOn w:val="1"/>
    <w:link w:val="35"/>
    <w:semiHidden/>
    <w:unhideWhenUsed/>
    <w:uiPriority w:val="0"/>
    <w:pPr>
      <w:jc w:val="left"/>
    </w:pPr>
  </w:style>
  <w:style w:type="paragraph" w:styleId="6">
    <w:name w:val="Body Text"/>
    <w:basedOn w:val="1"/>
    <w:autoRedefine/>
    <w:qFormat/>
    <w:uiPriority w:val="1"/>
    <w:pPr>
      <w:spacing w:line="312" w:lineRule="exact"/>
      <w:ind w:left="840"/>
    </w:pPr>
    <w:rPr>
      <w:rFonts w:ascii="Calibri" w:hAnsi="Calibri" w:cs="Times New Roman"/>
      <w:sz w:val="24"/>
    </w:rPr>
  </w:style>
  <w:style w:type="paragraph" w:styleId="7">
    <w:name w:val="Body Text Indent"/>
    <w:basedOn w:val="1"/>
    <w:link w:val="33"/>
    <w:autoRedefine/>
    <w:qFormat/>
    <w:uiPriority w:val="0"/>
    <w:pPr>
      <w:ind w:left="359" w:leftChars="171"/>
    </w:pPr>
    <w:rPr>
      <w:rFonts w:eastAsiaTheme="minorEastAsia"/>
      <w:sz w:val="24"/>
      <w:szCs w:val="20"/>
    </w:rPr>
  </w:style>
  <w:style w:type="paragraph" w:styleId="8">
    <w:name w:val="Plain Text"/>
    <w:basedOn w:val="1"/>
    <w:next w:val="1"/>
    <w:autoRedefine/>
    <w:qFormat/>
    <w:uiPriority w:val="0"/>
    <w:rPr>
      <w:rFonts w:hAnsi="Courier New" w:cs="Courier New"/>
    </w:rPr>
  </w:style>
  <w:style w:type="paragraph" w:styleId="9">
    <w:name w:val="Balloon Text"/>
    <w:basedOn w:val="1"/>
    <w:link w:val="25"/>
    <w:autoRedefine/>
    <w:qFormat/>
    <w:uiPriority w:val="0"/>
    <w:rPr>
      <w:sz w:val="18"/>
      <w:szCs w:val="18"/>
    </w:rPr>
  </w:style>
  <w:style w:type="paragraph" w:styleId="10">
    <w:name w:val="footer"/>
    <w:basedOn w:val="1"/>
    <w:link w:val="23"/>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annotation subject"/>
    <w:basedOn w:val="5"/>
    <w:next w:val="5"/>
    <w:link w:val="36"/>
    <w:autoRedefine/>
    <w:semiHidden/>
    <w:unhideWhenUsed/>
    <w:uiPriority w:val="0"/>
    <w:rPr>
      <w:b/>
      <w:bCs/>
    </w:rPr>
  </w:style>
  <w:style w:type="paragraph" w:styleId="14">
    <w:name w:val="Body Text First Indent"/>
    <w:basedOn w:val="6"/>
    <w:autoRedefine/>
    <w:qFormat/>
    <w:uiPriority w:val="0"/>
    <w:pPr>
      <w:topLinePunct/>
      <w:spacing w:line="360" w:lineRule="auto"/>
      <w:ind w:firstLine="420" w:firstLineChars="100"/>
    </w:pPr>
    <w:rPr>
      <w:kern w:val="0"/>
      <w:szCs w:val="20"/>
    </w:rPr>
  </w:style>
  <w:style w:type="paragraph" w:styleId="15">
    <w:name w:val="Body Text First Indent 2"/>
    <w:basedOn w:val="7"/>
    <w:link w:val="38"/>
    <w:unhideWhenUsed/>
    <w:uiPriority w:val="0"/>
    <w:pPr>
      <w:spacing w:after="120"/>
      <w:ind w:left="420" w:leftChars="200" w:firstLine="420"/>
    </w:pPr>
    <w:rPr>
      <w:rFonts w:eastAsia="仿宋"/>
      <w:sz w:val="28"/>
      <w:szCs w:val="28"/>
    </w:rPr>
  </w:style>
  <w:style w:type="table" w:styleId="17">
    <w:name w:val="Table Grid"/>
    <w:basedOn w:val="16"/>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basedOn w:val="18"/>
    <w:autoRedefine/>
    <w:qFormat/>
    <w:uiPriority w:val="0"/>
  </w:style>
  <w:style w:type="character" w:styleId="21">
    <w:name w:val="annotation reference"/>
    <w:basedOn w:val="18"/>
    <w:semiHidden/>
    <w:unhideWhenUsed/>
    <w:uiPriority w:val="0"/>
    <w:rPr>
      <w:sz w:val="21"/>
      <w:szCs w:val="21"/>
    </w:rPr>
  </w:style>
  <w:style w:type="character" w:customStyle="1" w:styleId="22">
    <w:name w:val="页眉 字符1"/>
    <w:basedOn w:val="18"/>
    <w:link w:val="11"/>
    <w:autoRedefine/>
    <w:qFormat/>
    <w:uiPriority w:val="0"/>
    <w:rPr>
      <w:rFonts w:eastAsia="宋体"/>
      <w:kern w:val="2"/>
      <w:sz w:val="18"/>
      <w:szCs w:val="18"/>
    </w:rPr>
  </w:style>
  <w:style w:type="character" w:customStyle="1" w:styleId="23">
    <w:name w:val="页脚 字符1"/>
    <w:basedOn w:val="18"/>
    <w:link w:val="10"/>
    <w:autoRedefine/>
    <w:qFormat/>
    <w:uiPriority w:val="99"/>
    <w:rPr>
      <w:rFonts w:eastAsia="宋体"/>
      <w:kern w:val="2"/>
      <w:sz w:val="18"/>
      <w:szCs w:val="18"/>
    </w:rPr>
  </w:style>
  <w:style w:type="paragraph" w:styleId="24">
    <w:name w:val="List Paragraph"/>
    <w:basedOn w:val="1"/>
    <w:autoRedefine/>
    <w:qFormat/>
    <w:uiPriority w:val="99"/>
    <w:pPr>
      <w:numPr>
        <w:ilvl w:val="0"/>
        <w:numId w:val="1"/>
      </w:numPr>
      <w:ind w:left="0" w:leftChars="0" w:firstLine="0" w:firstLineChars="0"/>
    </w:pPr>
  </w:style>
  <w:style w:type="character" w:customStyle="1" w:styleId="25">
    <w:name w:val="批注框文本 字符1"/>
    <w:basedOn w:val="18"/>
    <w:link w:val="9"/>
    <w:autoRedefine/>
    <w:qFormat/>
    <w:uiPriority w:val="0"/>
    <w:rPr>
      <w:rFonts w:eastAsia="宋体"/>
      <w:kern w:val="2"/>
      <w:sz w:val="18"/>
      <w:szCs w:val="18"/>
    </w:rPr>
  </w:style>
  <w:style w:type="character" w:customStyle="1" w:styleId="26">
    <w:name w:val="标题 1 Char"/>
    <w:basedOn w:val="18"/>
    <w:autoRedefine/>
    <w:qFormat/>
    <w:uiPriority w:val="0"/>
    <w:rPr>
      <w:rFonts w:eastAsia="宋体"/>
      <w:b/>
      <w:bCs/>
      <w:kern w:val="44"/>
      <w:sz w:val="44"/>
      <w:szCs w:val="44"/>
    </w:rPr>
  </w:style>
  <w:style w:type="character" w:customStyle="1" w:styleId="27">
    <w:name w:val="标题 1 字符"/>
    <w:link w:val="2"/>
    <w:autoRedefine/>
    <w:qFormat/>
    <w:uiPriority w:val="0"/>
    <w:rPr>
      <w:rFonts w:ascii="Times New Roman" w:hAnsi="Times New Roman" w:eastAsia="宋体" w:cs="Times New Roman"/>
      <w:b/>
      <w:bCs/>
      <w:kern w:val="2"/>
      <w:sz w:val="28"/>
      <w:szCs w:val="24"/>
    </w:rPr>
  </w:style>
  <w:style w:type="character" w:customStyle="1" w:styleId="28">
    <w:name w:val="页脚 字符"/>
    <w:autoRedefine/>
    <w:qFormat/>
    <w:uiPriority w:val="0"/>
    <w:rPr>
      <w:kern w:val="2"/>
      <w:sz w:val="18"/>
      <w:szCs w:val="18"/>
    </w:rPr>
  </w:style>
  <w:style w:type="character" w:customStyle="1" w:styleId="29">
    <w:name w:val="页眉 字符"/>
    <w:autoRedefine/>
    <w:qFormat/>
    <w:uiPriority w:val="0"/>
    <w:rPr>
      <w:kern w:val="2"/>
      <w:sz w:val="18"/>
      <w:szCs w:val="18"/>
    </w:rPr>
  </w:style>
  <w:style w:type="character" w:customStyle="1" w:styleId="30">
    <w:name w:val="正文文本缩进 Char1"/>
    <w:autoRedefine/>
    <w:qFormat/>
    <w:uiPriority w:val="0"/>
    <w:rPr>
      <w:kern w:val="2"/>
      <w:sz w:val="24"/>
    </w:rPr>
  </w:style>
  <w:style w:type="character" w:customStyle="1" w:styleId="31">
    <w:name w:val="批注框文本 字符"/>
    <w:autoRedefine/>
    <w:qFormat/>
    <w:uiPriority w:val="0"/>
    <w:rPr>
      <w:kern w:val="2"/>
      <w:sz w:val="18"/>
      <w:szCs w:val="18"/>
    </w:rPr>
  </w:style>
  <w:style w:type="paragraph" w:customStyle="1" w:styleId="32">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33">
    <w:name w:val="正文文本缩进 字符"/>
    <w:basedOn w:val="18"/>
    <w:link w:val="7"/>
    <w:autoRedefine/>
    <w:semiHidden/>
    <w:qFormat/>
    <w:uiPriority w:val="0"/>
    <w:rPr>
      <w:rFonts w:eastAsia="宋体"/>
      <w:kern w:val="2"/>
      <w:sz w:val="21"/>
      <w:szCs w:val="24"/>
    </w:rPr>
  </w:style>
  <w:style w:type="paragraph" w:customStyle="1" w:styleId="34">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5">
    <w:name w:val="批注文字 字符"/>
    <w:basedOn w:val="18"/>
    <w:link w:val="5"/>
    <w:semiHidden/>
    <w:uiPriority w:val="0"/>
    <w:rPr>
      <w:rFonts w:asciiTheme="minorHAnsi" w:hAnsiTheme="minorHAnsi" w:cstheme="minorBidi"/>
      <w:kern w:val="2"/>
      <w:sz w:val="21"/>
      <w:szCs w:val="24"/>
    </w:rPr>
  </w:style>
  <w:style w:type="character" w:customStyle="1" w:styleId="36">
    <w:name w:val="批注主题 字符"/>
    <w:basedOn w:val="35"/>
    <w:link w:val="13"/>
    <w:semiHidden/>
    <w:uiPriority w:val="0"/>
    <w:rPr>
      <w:rFonts w:asciiTheme="minorHAnsi" w:hAnsiTheme="minorHAnsi" w:cstheme="minorBidi"/>
      <w:b/>
      <w:bCs/>
      <w:kern w:val="2"/>
      <w:sz w:val="21"/>
      <w:szCs w:val="24"/>
    </w:rPr>
  </w:style>
  <w:style w:type="character" w:customStyle="1" w:styleId="37">
    <w:name w:val="标题 2 字符"/>
    <w:basedOn w:val="18"/>
    <w:link w:val="3"/>
    <w:uiPriority w:val="0"/>
    <w:rPr>
      <w:rFonts w:asciiTheme="majorHAnsi" w:hAnsiTheme="majorHAnsi" w:eastAsiaTheme="majorEastAsia" w:cstheme="majorBidi"/>
      <w:b/>
      <w:bCs/>
      <w:kern w:val="2"/>
      <w:sz w:val="32"/>
      <w:szCs w:val="32"/>
    </w:rPr>
  </w:style>
  <w:style w:type="character" w:customStyle="1" w:styleId="38">
    <w:name w:val="正文文本首行缩进 2 字符"/>
    <w:basedOn w:val="33"/>
    <w:link w:val="15"/>
    <w:uiPriority w:val="0"/>
    <w:rPr>
      <w:rFonts w:ascii="仿宋" w:hAnsi="仿宋" w:eastAsia="仿宋"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5C723-4C58-4B3C-BAFB-8AF1223ADBE2}">
  <ds:schemaRefs/>
</ds:datastoreItem>
</file>

<file path=docProps/app.xml><?xml version="1.0" encoding="utf-8"?>
<Properties xmlns="http://schemas.openxmlformats.org/officeDocument/2006/extended-properties" xmlns:vt="http://schemas.openxmlformats.org/officeDocument/2006/docPropsVTypes">
  <Template>Normal</Template>
  <Pages>16</Pages>
  <Words>1021</Words>
  <Characters>5821</Characters>
  <Lines>48</Lines>
  <Paragraphs>13</Paragraphs>
  <TotalTime>188</TotalTime>
  <ScaleCrop>false</ScaleCrop>
  <LinksUpToDate>false</LinksUpToDate>
  <CharactersWithSpaces>6829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2023-08-14T02:25:00Z</cp:lastPrinted>
  <dcterms:modified xsi:type="dcterms:W3CDTF">2024-01-23T01:48:41Z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F753161A0D1448D3802E63AABE56AB64_13</vt:lpwstr>
  </property>
</Properties>
</file>