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ind w:firstLine="880"/>
        <w:jc w:val="center"/>
        <w:rPr>
          <w:rFonts w:ascii="黑体" w:eastAsia="黑体"/>
          <w:sz w:val="36"/>
          <w:szCs w:val="36"/>
          <w:lang w:eastAsia="zh-CN"/>
        </w:rPr>
      </w:pPr>
      <w:bookmarkStart w:id="0" w:name="_GoBack"/>
      <w:r>
        <w:rPr>
          <w:rFonts w:ascii="黑体" w:eastAsia="黑体"/>
          <w:sz w:val="36"/>
          <w:szCs w:val="36"/>
          <w:lang w:eastAsia="zh-CN"/>
        </w:rPr>
        <w:t>危</w:t>
      </w:r>
      <w:r>
        <w:rPr>
          <w:rFonts w:hint="eastAsia" w:ascii="黑体" w:eastAsia="黑体"/>
          <w:sz w:val="36"/>
          <w:szCs w:val="36"/>
          <w:lang w:eastAsia="zh-CN"/>
        </w:rPr>
        <w:t>险</w:t>
      </w:r>
      <w:r>
        <w:rPr>
          <w:rFonts w:ascii="黑体" w:eastAsia="黑体"/>
          <w:sz w:val="36"/>
          <w:szCs w:val="36"/>
          <w:lang w:eastAsia="zh-CN"/>
        </w:rPr>
        <w:t>废</w:t>
      </w:r>
      <w:r>
        <w:rPr>
          <w:rFonts w:hint="eastAsia" w:ascii="黑体" w:eastAsia="黑体"/>
          <w:sz w:val="36"/>
          <w:szCs w:val="36"/>
          <w:lang w:eastAsia="zh-CN"/>
        </w:rPr>
        <w:t>物</w:t>
      </w:r>
      <w:r>
        <w:rPr>
          <w:rFonts w:ascii="黑体" w:eastAsia="黑体"/>
          <w:sz w:val="36"/>
          <w:szCs w:val="36"/>
          <w:lang w:eastAsia="zh-CN"/>
        </w:rPr>
        <w:t>（含铜污泥、废包装桶、</w:t>
      </w:r>
    </w:p>
    <w:p>
      <w:pPr>
        <w:pStyle w:val="181"/>
        <w:ind w:firstLine="880"/>
        <w:jc w:val="center"/>
        <w:rPr>
          <w:rFonts w:ascii="黑体" w:eastAsia="黑体"/>
          <w:sz w:val="36"/>
          <w:szCs w:val="36"/>
          <w:lang w:eastAsia="zh-CN"/>
        </w:rPr>
      </w:pPr>
      <w:r>
        <w:rPr>
          <w:rFonts w:ascii="黑体" w:eastAsia="黑体"/>
          <w:sz w:val="36"/>
          <w:szCs w:val="36"/>
          <w:lang w:eastAsia="zh-CN"/>
        </w:rPr>
        <w:t>废溶剂、废蚀刻液）处置</w:t>
      </w:r>
      <w:bookmarkEnd w:id="0"/>
      <w:r>
        <w:rPr>
          <w:rFonts w:ascii="黑体" w:eastAsia="黑体"/>
          <w:sz w:val="36"/>
          <w:szCs w:val="36"/>
          <w:lang w:eastAsia="zh-CN"/>
        </w:rPr>
        <w:t>询价单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黑体" w:eastAsia="黑体"/>
          <w:sz w:val="32"/>
          <w:szCs w:val="32"/>
          <w:lang w:val="en-US" w:eastAsia="zh-CN"/>
        </w:rPr>
        <w:t>一、</w:t>
      </w:r>
      <w:r>
        <w:rPr>
          <w:rFonts w:ascii="黑体" w:eastAsia="黑体"/>
          <w:sz w:val="32"/>
          <w:szCs w:val="32"/>
          <w:lang w:eastAsia="zh-CN"/>
        </w:rPr>
        <w:t>含铜污泥</w:t>
      </w:r>
      <w:r>
        <w:rPr>
          <w:rFonts w:ascii="黑体" w:eastAsia="黑体"/>
          <w:sz w:val="32"/>
          <w:szCs w:val="32"/>
        </w:rPr>
        <w:t>处置利用</w:t>
      </w:r>
      <w:r>
        <w:rPr>
          <w:rFonts w:ascii="黑体" w:eastAsia="黑体"/>
          <w:sz w:val="32"/>
          <w:szCs w:val="32"/>
          <w:lang w:eastAsia="zh-CN"/>
        </w:rPr>
        <w:t>说明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outlineLvl w:val="9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b w:val="0"/>
          <w:bCs w:val="0"/>
          <w:sz w:val="30"/>
          <w:szCs w:val="30"/>
        </w:rPr>
        <w:t>品质确认：由</w:t>
      </w:r>
      <w:r>
        <w:rPr>
          <w:b w:val="0"/>
          <w:bCs w:val="0"/>
          <w:sz w:val="30"/>
          <w:szCs w:val="30"/>
          <w:lang w:eastAsia="zh-CN"/>
        </w:rPr>
        <w:t>我公司与接收单位人员</w:t>
      </w:r>
      <w:r>
        <w:rPr>
          <w:b w:val="0"/>
          <w:bCs w:val="0"/>
          <w:sz w:val="30"/>
          <w:szCs w:val="30"/>
        </w:rPr>
        <w:t>共同取样，抽取的样品筛分成</w:t>
      </w:r>
      <w:r>
        <w:rPr>
          <w:b w:val="0"/>
          <w:bCs w:val="0"/>
          <w:sz w:val="30"/>
          <w:szCs w:val="30"/>
          <w:lang w:val="en-US" w:eastAsia="zh-CN"/>
        </w:rPr>
        <w:t>三</w:t>
      </w:r>
      <w:r>
        <w:rPr>
          <w:b w:val="0"/>
          <w:bCs w:val="0"/>
          <w:sz w:val="30"/>
          <w:szCs w:val="30"/>
        </w:rPr>
        <w:t>份，</w:t>
      </w:r>
      <w:r>
        <w:rPr>
          <w:b w:val="0"/>
          <w:bCs w:val="0"/>
          <w:sz w:val="30"/>
          <w:szCs w:val="30"/>
          <w:lang w:eastAsia="zh-CN"/>
        </w:rPr>
        <w:t>双方各留</w:t>
      </w:r>
      <w:r>
        <w:rPr>
          <w:b w:val="0"/>
          <w:bCs w:val="0"/>
          <w:sz w:val="30"/>
          <w:szCs w:val="30"/>
          <w:lang w:val="en-US" w:eastAsia="zh-CN"/>
        </w:rPr>
        <w:t>一份，</w:t>
      </w:r>
      <w:r>
        <w:rPr>
          <w:b w:val="0"/>
          <w:bCs w:val="0"/>
          <w:sz w:val="30"/>
          <w:szCs w:val="30"/>
        </w:rPr>
        <w:t>另一份由双方签字</w:t>
      </w:r>
      <w:r>
        <w:rPr>
          <w:b w:val="0"/>
          <w:bCs w:val="0"/>
          <w:sz w:val="30"/>
          <w:szCs w:val="30"/>
          <w:lang w:eastAsia="zh-CN"/>
        </w:rPr>
        <w:t>后</w:t>
      </w:r>
      <w:r>
        <w:rPr>
          <w:b w:val="0"/>
          <w:bCs w:val="0"/>
          <w:sz w:val="30"/>
          <w:szCs w:val="30"/>
        </w:rPr>
        <w:t>封存，作为</w:t>
      </w:r>
      <w:r>
        <w:rPr>
          <w:rFonts w:hint="eastAsia"/>
          <w:b w:val="0"/>
          <w:bCs w:val="0"/>
          <w:sz w:val="30"/>
          <w:szCs w:val="30"/>
          <w:lang w:eastAsia="zh-CN"/>
        </w:rPr>
        <w:t>仲裁</w:t>
      </w:r>
      <w:r>
        <w:rPr>
          <w:b w:val="0"/>
          <w:bCs w:val="0"/>
          <w:sz w:val="30"/>
          <w:szCs w:val="30"/>
        </w:rPr>
        <w:t>样</w:t>
      </w:r>
      <w:r>
        <w:rPr>
          <w:b w:val="0"/>
          <w:bCs w:val="0"/>
          <w:sz w:val="30"/>
          <w:szCs w:val="30"/>
          <w:lang w:eastAsia="zh-CN"/>
        </w:rPr>
        <w:t>（我公司保存）</w:t>
      </w:r>
      <w:r>
        <w:rPr>
          <w:b w:val="0"/>
          <w:bCs w:val="0"/>
          <w:sz w:val="30"/>
          <w:szCs w:val="30"/>
        </w:rPr>
        <w:t>。</w:t>
      </w:r>
      <w:r>
        <w:rPr>
          <w:b w:val="0"/>
          <w:bCs w:val="0"/>
          <w:sz w:val="30"/>
          <w:szCs w:val="30"/>
          <w:lang w:eastAsia="zh-CN"/>
        </w:rPr>
        <w:t>双方</w:t>
      </w:r>
      <w:r>
        <w:rPr>
          <w:b w:val="0"/>
          <w:bCs w:val="0"/>
          <w:sz w:val="30"/>
          <w:szCs w:val="30"/>
        </w:rPr>
        <w:t>提供互被认可的化验单，双方化验结果取平均值结算；如品位偏差较大或双方对化验数据有异议，可共同提取</w:t>
      </w:r>
      <w:r>
        <w:rPr>
          <w:rFonts w:hint="eastAsia"/>
          <w:b w:val="0"/>
          <w:bCs w:val="0"/>
          <w:sz w:val="30"/>
          <w:szCs w:val="30"/>
          <w:lang w:eastAsia="zh-CN"/>
        </w:rPr>
        <w:t>仲裁</w:t>
      </w:r>
      <w:r>
        <w:rPr>
          <w:b w:val="0"/>
          <w:bCs w:val="0"/>
          <w:sz w:val="30"/>
          <w:szCs w:val="30"/>
        </w:rPr>
        <w:t>样委托有资质的第三方机构进行化验，化验结果双方共同遵守，与第三方化验结果偏差较大的一方承担相应费用。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outlineLvl w:val="9"/>
        <w:rPr>
          <w:b w:val="0"/>
          <w:bCs w:val="0"/>
          <w:color w:val="000000"/>
          <w:sz w:val="30"/>
          <w:szCs w:val="30"/>
        </w:rPr>
      </w:pPr>
      <w:r>
        <w:rPr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ascii="宋体" w:hAnsi="宋体" w:eastAsia="宋体"/>
          <w:sz w:val="30"/>
          <w:szCs w:val="30"/>
          <w:lang w:val="en-US" w:eastAsia="zh-CN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ascii="宋体" w:hAnsi="宋体" w:eastAsia="宋体"/>
          <w:sz w:val="30"/>
          <w:szCs w:val="30"/>
          <w:lang w:val="en-US" w:eastAsia="zh-CN"/>
        </w:rPr>
        <w:t>年度</w:t>
      </w:r>
      <w:r>
        <w:rPr>
          <w:rFonts w:ascii="宋体" w:hAnsi="宋体" w:eastAsia="宋体"/>
          <w:sz w:val="30"/>
          <w:szCs w:val="30"/>
          <w:lang w:eastAsia="zh-CN"/>
        </w:rPr>
        <w:t>结算系数由投标方自行填写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ascii="宋体" w:hAnsi="宋体" w:eastAsia="宋体"/>
          <w:color w:val="auto"/>
          <w:sz w:val="30"/>
          <w:szCs w:val="30"/>
          <w:lang w:val="en-US" w:eastAsia="zh-CN"/>
        </w:rPr>
        <w:t>表中202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color w:val="auto"/>
          <w:sz w:val="30"/>
          <w:szCs w:val="30"/>
          <w:lang w:val="en-US" w:eastAsia="zh-CN"/>
        </w:rPr>
        <w:t>年的结算系数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作为参考</w:t>
      </w:r>
      <w:r>
        <w:rPr>
          <w:rFonts w:ascii="宋体" w:hAnsi="宋体" w:eastAsia="宋体"/>
          <w:color w:val="auto"/>
          <w:sz w:val="30"/>
          <w:szCs w:val="30"/>
          <w:lang w:val="en-US" w:eastAsia="zh-CN"/>
        </w:rPr>
        <w:t>，所填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系数高者中标，</w:t>
      </w:r>
      <w:r>
        <w:rPr>
          <w:rFonts w:ascii="宋体" w:hAnsi="宋体" w:eastAsia="宋体"/>
          <w:color w:val="auto"/>
          <w:sz w:val="30"/>
          <w:szCs w:val="30"/>
          <w:lang w:val="en-US" w:eastAsia="zh-CN"/>
        </w:rPr>
        <w:t>并以此作为结算依据之一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。</w:t>
      </w:r>
      <w:r>
        <w:rPr>
          <w:rFonts w:ascii="宋体" w:hAnsi="宋体" w:eastAsia="宋体"/>
          <w:color w:val="auto"/>
          <w:sz w:val="30"/>
          <w:szCs w:val="30"/>
          <w:u w:val="single"/>
          <w:lang w:eastAsia="zh-CN"/>
        </w:rPr>
        <w:t>铜湿基品位&lt;</w:t>
      </w:r>
      <w:r>
        <w:rPr>
          <w:rFonts w:ascii="宋体" w:hAnsi="宋体" w:eastAsia="宋体"/>
          <w:color w:val="auto"/>
          <w:sz w:val="30"/>
          <w:szCs w:val="30"/>
          <w:u w:val="single"/>
          <w:lang w:val="en-US" w:eastAsia="zh-CN"/>
        </w:rPr>
        <w:t>2</w:t>
      </w:r>
      <w:r>
        <w:rPr>
          <w:rFonts w:ascii="宋体" w:hAnsi="宋体" w:eastAsia="宋体"/>
          <w:color w:val="auto"/>
          <w:sz w:val="30"/>
          <w:szCs w:val="30"/>
          <w:u w:val="single"/>
          <w:lang w:eastAsia="zh-CN"/>
        </w:rPr>
        <w:t>%时是免费处理、有偿处理或继续分阶段付费给我公司，请一并说明。</w:t>
      </w:r>
      <w:r>
        <w:rPr>
          <w:b w:val="0"/>
          <w:bCs w:val="0"/>
          <w:color w:val="auto"/>
          <w:sz w:val="30"/>
          <w:szCs w:val="30"/>
        </w:rPr>
        <w:t>含铜污泥计</w:t>
      </w:r>
      <w:r>
        <w:rPr>
          <w:b w:val="0"/>
          <w:bCs w:val="0"/>
          <w:color w:val="000000"/>
          <w:sz w:val="30"/>
          <w:szCs w:val="30"/>
        </w:rPr>
        <w:t>价方式为：铜价按发货当日的“长江有色金属网”中1#铜的现货均价结算 （如提货日为休市日或跌停日</w:t>
      </w:r>
      <w:r>
        <w:rPr>
          <w:rFonts w:ascii="宋体" w:hAnsi="宋体"/>
          <w:b w:val="0"/>
          <w:bCs w:val="0"/>
          <w:color w:val="000000"/>
          <w:sz w:val="30"/>
          <w:szCs w:val="30"/>
        </w:rPr>
        <w:t>，则顺延到下</w:t>
      </w:r>
      <w:r>
        <w:rPr>
          <w:b w:val="0"/>
          <w:bCs w:val="0"/>
          <w:color w:val="000000"/>
          <w:sz w:val="30"/>
          <w:szCs w:val="30"/>
        </w:rPr>
        <w:t>一个工作日或非跌停日）</w:t>
      </w:r>
      <w:r>
        <w:rPr>
          <w:rFonts w:ascii="宋体" w:hAnsi="宋体"/>
          <w:b w:val="0"/>
          <w:bCs w:val="0"/>
          <w:color w:val="000000"/>
          <w:sz w:val="30"/>
          <w:szCs w:val="30"/>
        </w:rPr>
        <w:t>×</w:t>
      </w:r>
      <w:r>
        <w:rPr>
          <w:b w:val="0"/>
          <w:bCs w:val="0"/>
          <w:color w:val="000000"/>
          <w:sz w:val="30"/>
          <w:szCs w:val="30"/>
        </w:rPr>
        <w:t>铜（湿基）品位</w:t>
      </w:r>
      <w:r>
        <w:rPr>
          <w:rFonts w:ascii="宋体" w:hAnsi="宋体"/>
          <w:b w:val="0"/>
          <w:bCs w:val="0"/>
          <w:color w:val="000000"/>
          <w:sz w:val="30"/>
          <w:szCs w:val="30"/>
        </w:rPr>
        <w:t>×结算系数×吨位</w:t>
      </w:r>
      <w:r>
        <w:rPr>
          <w:b w:val="0"/>
          <w:bCs w:val="0"/>
          <w:color w:val="000000"/>
          <w:sz w:val="30"/>
          <w:szCs w:val="30"/>
        </w:rPr>
        <w:t>。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outlineLvl w:val="9"/>
        <w:rPr>
          <w:rFonts w:hint="default" w:eastAsia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3、危废代码：398-005-22；拟处置量：1200吨（金宝、金都）</w:t>
      </w:r>
    </w:p>
    <w:tbl>
      <w:tblPr>
        <w:tblStyle w:val="31"/>
        <w:tblW w:w="87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66"/>
        <w:gridCol w:w="950"/>
        <w:gridCol w:w="950"/>
        <w:gridCol w:w="1000"/>
        <w:gridCol w:w="966"/>
        <w:gridCol w:w="1000"/>
        <w:gridCol w:w="1000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19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铜湿基品位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Cu&lt;</w:t>
            </w:r>
            <w:r>
              <w:rPr>
                <w:rFonts w:ascii="宋体" w:hAnsi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%≤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1"/>
                <w:szCs w:val="21"/>
              </w:rPr>
              <w:t>Cu&lt;4%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4%≤ Cu&lt;5%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5%≤ Cu&lt;6%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6%≤ Cu&lt;7%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7%≤ Cu&lt;8%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8%≤ Cu&lt;9%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Cu≥9%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19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结算系数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8-29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2-33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19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结算系数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181"/>
              <w:keepNext w:val="0"/>
              <w:keepLines w:val="0"/>
              <w:pageBreakBefore w:val="0"/>
              <w:widowControl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outlineLvl w:val="9"/>
        <w:rPr>
          <w:rFonts w:hint="default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4.选定2家中标单位。</w:t>
      </w:r>
    </w:p>
    <w:p>
      <w:pPr>
        <w:pStyle w:val="181"/>
        <w:keepNext w:val="0"/>
        <w:keepLines w:val="0"/>
        <w:pageBreakBefore w:val="0"/>
        <w:widowControl w:val="0"/>
        <w:spacing w:line="500" w:lineRule="exact"/>
        <w:ind w:firstLine="643"/>
        <w:outlineLvl w:val="9"/>
        <w:rPr>
          <w:rFonts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sz w:val="32"/>
          <w:szCs w:val="32"/>
          <w:lang w:val="en-US" w:eastAsia="zh-CN"/>
        </w:rPr>
        <w:t>二、废包装桶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（金宝、金都）</w:t>
      </w:r>
    </w:p>
    <w:tbl>
      <w:tblPr>
        <w:tblStyle w:val="31"/>
        <w:tblW w:w="8735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07"/>
        <w:gridCol w:w="1846"/>
        <w:gridCol w:w="1846"/>
        <w:gridCol w:w="18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危废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名称、代码   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拟处置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（吨）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处置费（元/吨）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废包装桶  900-041-49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180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废包装桶  900-041-49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60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桶底有残留物</w:t>
            </w:r>
          </w:p>
        </w:tc>
      </w:tr>
    </w:tbl>
    <w:p>
      <w:pPr>
        <w:pStyle w:val="181"/>
        <w:keepNext w:val="0"/>
        <w:keepLines w:val="0"/>
        <w:pageBreakBefore w:val="0"/>
        <w:widowControl w:val="0"/>
        <w:spacing w:line="460" w:lineRule="exact"/>
        <w:ind w:firstLine="643"/>
        <w:outlineLvl w:val="9"/>
        <w:rPr>
          <w:rFonts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/>
          <w:b/>
          <w:bCs/>
          <w:sz w:val="32"/>
          <w:szCs w:val="32"/>
          <w:lang w:val="en-US" w:eastAsia="zh-CN"/>
        </w:rPr>
        <w:t>三、废溶剂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（金宝）</w:t>
      </w:r>
    </w:p>
    <w:tbl>
      <w:tblPr>
        <w:tblStyle w:val="31"/>
        <w:tblW w:w="8735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07"/>
        <w:gridCol w:w="1846"/>
        <w:gridCol w:w="1846"/>
        <w:gridCol w:w="18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危废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名称、代码   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拟处置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（吨）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处置费（元/吨）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废溶剂    900-402-06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8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0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</w:tr>
    </w:tbl>
    <w:p>
      <w:pPr>
        <w:pStyle w:val="181"/>
        <w:keepNext w:val="0"/>
        <w:keepLines w:val="0"/>
        <w:pageBreakBefore w:val="0"/>
        <w:widowControl w:val="0"/>
        <w:spacing w:line="460" w:lineRule="exact"/>
        <w:ind w:firstLine="643"/>
        <w:outlineLvl w:val="9"/>
        <w:rPr>
          <w:rFonts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ascii="宋体" w:hAnsi="宋体" w:eastAsia="宋体"/>
          <w:b/>
          <w:bCs/>
          <w:sz w:val="32"/>
          <w:szCs w:val="32"/>
          <w:lang w:val="en-US" w:eastAsia="zh-CN"/>
        </w:rPr>
        <w:t>四、废蚀刻液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（金宝）</w:t>
      </w:r>
    </w:p>
    <w:tbl>
      <w:tblPr>
        <w:tblStyle w:val="31"/>
        <w:tblW w:w="8735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07"/>
        <w:gridCol w:w="1846"/>
        <w:gridCol w:w="1846"/>
        <w:gridCol w:w="184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危废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 xml:space="preserve">名称、代码   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拟处置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（吨）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处置费（元/吨）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废蚀刻液  398-051-22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  <w:t>80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</w:p>
        </w:tc>
      </w:tr>
    </w:tbl>
    <w:p>
      <w:pPr>
        <w:pStyle w:val="18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0" w:firstLine="602" w:firstLineChars="0"/>
        <w:textAlignment w:val="auto"/>
        <w:outlineLvl w:val="9"/>
        <w:rPr>
          <w:rFonts w:hint="eastAsia" w:ascii="宋体" w:hAnsi="宋体"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投标保证金（人民币）：</w:t>
      </w:r>
      <w:r>
        <w:rPr>
          <w:rFonts w:hint="eastAsia" w:ascii="宋体" w:hAnsi="宋体"/>
          <w:sz w:val="30"/>
          <w:szCs w:val="30"/>
          <w:lang w:eastAsia="zh-CN"/>
        </w:rPr>
        <w:t>含铜污泥</w:t>
      </w:r>
      <w:r>
        <w:rPr>
          <w:rFonts w:hint="eastAsia" w:ascii="宋体" w:hAnsi="宋体"/>
          <w:b/>
          <w:bCs/>
          <w:color w:val="auto"/>
          <w:sz w:val="30"/>
          <w:szCs w:val="30"/>
          <w:u w:val="single"/>
          <w:lang w:val="en-US" w:eastAsia="zh-CN"/>
        </w:rPr>
        <w:t>10</w:t>
      </w:r>
      <w:r>
        <w:rPr>
          <w:rFonts w:ascii="宋体" w:hAnsi="宋体" w:eastAsia="宋体"/>
          <w:b/>
          <w:bCs/>
          <w:color w:val="000000"/>
          <w:sz w:val="30"/>
          <w:szCs w:val="30"/>
          <w:u w:val="single"/>
        </w:rPr>
        <w:t>万元</w:t>
      </w:r>
      <w:r>
        <w:rPr>
          <w:rFonts w:ascii="宋体" w:hAnsi="宋体" w:eastAsia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lang w:eastAsia="zh-CN"/>
        </w:rPr>
        <w:t>；废包装桶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5</w:t>
      </w:r>
      <w:r>
        <w:rPr>
          <w:rFonts w:ascii="宋体" w:hAnsi="宋体" w:eastAsia="宋体"/>
          <w:b/>
          <w:bCs/>
          <w:sz w:val="30"/>
          <w:szCs w:val="30"/>
          <w:u w:val="single"/>
        </w:rPr>
        <w:t xml:space="preserve">万元 </w:t>
      </w:r>
      <w:r>
        <w:rPr>
          <w:rFonts w:hint="eastAsia" w:ascii="宋体" w:hAnsi="宋体"/>
          <w:sz w:val="30"/>
          <w:szCs w:val="30"/>
          <w:lang w:eastAsia="zh-CN"/>
        </w:rPr>
        <w:t>；废溶剂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</w:t>
      </w:r>
      <w:r>
        <w:rPr>
          <w:rFonts w:ascii="宋体" w:hAnsi="宋体" w:eastAsia="宋体"/>
          <w:b/>
          <w:bCs/>
          <w:sz w:val="30"/>
          <w:szCs w:val="30"/>
          <w:u w:val="single"/>
        </w:rPr>
        <w:t xml:space="preserve">万元 </w:t>
      </w:r>
      <w:r>
        <w:rPr>
          <w:rFonts w:hint="eastAsia" w:ascii="宋体" w:hAnsi="宋体"/>
          <w:sz w:val="30"/>
          <w:szCs w:val="30"/>
          <w:lang w:eastAsia="zh-CN"/>
        </w:rPr>
        <w:t>；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废蚀刻液</w:t>
      </w:r>
      <w:r>
        <w:rPr>
          <w:rFonts w:hint="eastAsia" w:ascii="宋体" w:hAnsi="宋体"/>
          <w:color w:val="auto"/>
          <w:sz w:val="30"/>
          <w:szCs w:val="30"/>
          <w:u w:val="single"/>
          <w:lang w:val="en-US" w:eastAsia="zh-CN"/>
        </w:rPr>
        <w:t>1</w:t>
      </w:r>
      <w:r>
        <w:rPr>
          <w:rFonts w:ascii="宋体" w:hAnsi="宋体" w:eastAsia="宋体"/>
          <w:b/>
          <w:bCs/>
          <w:color w:val="auto"/>
          <w:sz w:val="30"/>
          <w:szCs w:val="30"/>
          <w:u w:val="single"/>
        </w:rPr>
        <w:t xml:space="preserve">万元 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请投标单位于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2023年12月26日16:00前公户汇款，底单发给投标联系人。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outlineLvl w:val="9"/>
        <w:rPr>
          <w:rFonts w:ascii="宋体" w:hAnsi="宋体" w:eastAsia="宋体"/>
          <w:b/>
          <w:bCs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eastAsia="zh-CN"/>
        </w:rPr>
        <w:t>汇款资料</w:t>
      </w:r>
      <w:r>
        <w:rPr>
          <w:rFonts w:ascii="宋体" w:hAnsi="宋体" w:eastAsia="宋体"/>
          <w:b/>
          <w:bCs/>
          <w:color w:val="000000" w:themeColor="text1"/>
          <w:sz w:val="30"/>
          <w:szCs w:val="30"/>
          <w:lang w:eastAsia="zh-CN"/>
        </w:rPr>
        <w:t>：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70" w:firstLine="562" w:firstLineChars="200"/>
        <w:textAlignment w:val="auto"/>
        <w:rPr>
          <w:rFonts w:ascii="宋体" w:hAnsi="宋体" w:eastAsia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单位名称：山东金宝电子有限公司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70" w:firstLine="562" w:firstLineChars="200"/>
        <w:textAlignment w:val="auto"/>
        <w:rPr>
          <w:rFonts w:hint="default"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帐  号：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</w:rPr>
        <w:t>5000 6473 3510 017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70" w:firstLine="562" w:firstLineChars="200"/>
        <w:textAlignment w:val="auto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开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户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</w:rPr>
        <w:t>行：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  <w:t>恒丰银行招远支行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投标人未中标，投标保证金将在竞标结束后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无息返还。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中标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方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的投标保证金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将在合同签订后，自动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转为履约保证金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中标方放弃中标权利，投标保证金将予以没收。未缴纳投标保证金的，一概视为废标。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含铜污泥的中标单位，须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往金都电子账户交履约保证金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15万元、须往金宝电子账户补齐15万元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0" w:firstLine="602" w:firstLineChars="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其他事项：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 w:ascii="宋体" w:hAnsi="宋体"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1.</w:t>
      </w:r>
      <w:r>
        <w:rPr>
          <w:rFonts w:ascii="宋体" w:hAnsi="宋体" w:eastAsia="宋体"/>
          <w:sz w:val="30"/>
          <w:szCs w:val="30"/>
        </w:rPr>
        <w:t>每批货物结算时，重量以</w:t>
      </w:r>
      <w:r>
        <w:rPr>
          <w:rFonts w:ascii="宋体" w:hAnsi="宋体" w:eastAsia="宋体"/>
          <w:sz w:val="30"/>
          <w:szCs w:val="30"/>
          <w:lang w:eastAsia="zh-CN"/>
        </w:rPr>
        <w:t>我公司</w:t>
      </w:r>
      <w:r>
        <w:rPr>
          <w:rFonts w:ascii="宋体" w:hAnsi="宋体" w:eastAsia="宋体"/>
          <w:sz w:val="30"/>
          <w:szCs w:val="30"/>
        </w:rPr>
        <w:t>过磅</w:t>
      </w:r>
      <w:r>
        <w:rPr>
          <w:rFonts w:hint="eastAsia" w:ascii="宋体" w:hAnsi="宋体"/>
          <w:sz w:val="30"/>
          <w:szCs w:val="30"/>
          <w:lang w:eastAsia="zh-CN"/>
        </w:rPr>
        <w:t>单</w:t>
      </w:r>
      <w:r>
        <w:rPr>
          <w:rFonts w:ascii="宋体" w:hAnsi="宋体" w:eastAsia="宋体"/>
          <w:sz w:val="30"/>
          <w:szCs w:val="30"/>
        </w:rPr>
        <w:t>为准，单价以上述约定为准</w:t>
      </w:r>
      <w:r>
        <w:rPr>
          <w:rFonts w:ascii="宋体" w:hAnsi="宋体" w:eastAsia="宋体"/>
          <w:sz w:val="30"/>
          <w:szCs w:val="30"/>
          <w:lang w:eastAsia="zh-CN"/>
        </w:rPr>
        <w:t>。</w:t>
      </w:r>
      <w:r>
        <w:rPr>
          <w:rFonts w:hint="eastAsia" w:ascii="宋体" w:hAnsi="宋体"/>
          <w:sz w:val="30"/>
          <w:szCs w:val="30"/>
          <w:lang w:eastAsia="zh-CN"/>
        </w:rPr>
        <w:t>我公司收款的，按照过磅单重量</w:t>
      </w:r>
      <w:r>
        <w:rPr>
          <w:rFonts w:hint="eastAsia" w:ascii="宋体" w:hAnsi="宋体"/>
          <w:sz w:val="30"/>
          <w:szCs w:val="30"/>
          <w:lang w:val="en-US" w:eastAsia="zh-CN"/>
        </w:rPr>
        <w:t>(吨)x处置费(元/吨)</w:t>
      </w:r>
      <w:r>
        <w:rPr>
          <w:rFonts w:hint="eastAsia" w:ascii="宋体" w:hAnsi="宋体"/>
          <w:sz w:val="30"/>
          <w:szCs w:val="30"/>
          <w:lang w:eastAsia="zh-CN"/>
        </w:rPr>
        <w:t>当日将货款电汇至合同中约定的账户，</w:t>
      </w:r>
      <w:r>
        <w:rPr>
          <w:rFonts w:ascii="宋体" w:hAnsi="宋体" w:eastAsia="宋体"/>
          <w:color w:val="000000"/>
          <w:sz w:val="30"/>
          <w:szCs w:val="30"/>
        </w:rPr>
        <w:t>付款后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15个工作日内</w:t>
      </w:r>
      <w:r>
        <w:rPr>
          <w:rFonts w:ascii="宋体" w:hAnsi="宋体" w:eastAsia="宋体"/>
          <w:color w:val="000000"/>
          <w:sz w:val="30"/>
          <w:szCs w:val="30"/>
          <w:lang w:eastAsia="zh-CN"/>
        </w:rPr>
        <w:t>我公司</w:t>
      </w:r>
      <w:r>
        <w:rPr>
          <w:rFonts w:ascii="宋体" w:hAnsi="宋体" w:eastAsia="宋体"/>
          <w:color w:val="000000"/>
          <w:sz w:val="30"/>
          <w:szCs w:val="30"/>
        </w:rPr>
        <w:t>按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合同</w:t>
      </w:r>
      <w:r>
        <w:rPr>
          <w:rFonts w:ascii="宋体" w:hAnsi="宋体" w:eastAsia="宋体"/>
          <w:color w:val="000000"/>
          <w:sz w:val="30"/>
          <w:szCs w:val="30"/>
        </w:rPr>
        <w:t>约定开具13%增值税专用发票给</w:t>
      </w:r>
      <w:r>
        <w:rPr>
          <w:rFonts w:ascii="宋体" w:hAnsi="宋体" w:eastAsia="宋体"/>
          <w:color w:val="000000"/>
          <w:sz w:val="30"/>
          <w:szCs w:val="30"/>
          <w:lang w:eastAsia="zh-CN"/>
        </w:rPr>
        <w:t>接收单位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。我公司付款的，收到按合同约定结算的增值税专用发票后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30个工作日内电汇至接收单位。履约</w:t>
      </w:r>
      <w:r>
        <w:rPr>
          <w:rFonts w:ascii="宋体" w:hAnsi="宋体" w:eastAsia="宋体"/>
          <w:color w:val="auto"/>
          <w:sz w:val="30"/>
          <w:szCs w:val="30"/>
          <w:lang w:eastAsia="zh-CN"/>
        </w:rPr>
        <w:t>保证</w:t>
      </w:r>
      <w:r>
        <w:rPr>
          <w:rFonts w:ascii="宋体" w:hAnsi="宋体" w:eastAsia="宋体"/>
          <w:color w:val="auto"/>
          <w:sz w:val="30"/>
          <w:szCs w:val="30"/>
        </w:rPr>
        <w:t>金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将</w:t>
      </w:r>
      <w:r>
        <w:rPr>
          <w:rFonts w:ascii="宋体" w:hAnsi="宋体" w:eastAsia="宋体"/>
          <w:color w:val="auto"/>
          <w:sz w:val="30"/>
          <w:szCs w:val="30"/>
        </w:rPr>
        <w:t>在合同终止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后免息返还。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 w:ascii="宋体" w:hAnsi="宋体"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含铜污泥按照约定，双方确认化验结果无误后进行结算。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outlineLvl w:val="9"/>
        <w:rPr>
          <w:rFonts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3.</w:t>
      </w:r>
      <w:r>
        <w:rPr>
          <w:rFonts w:ascii="宋体" w:hAnsi="宋体" w:eastAsia="宋体"/>
          <w:sz w:val="30"/>
          <w:szCs w:val="30"/>
          <w:lang w:eastAsia="zh-CN"/>
        </w:rPr>
        <w:t>装车过程中</w:t>
      </w:r>
      <w:r>
        <w:rPr>
          <w:rFonts w:hint="eastAsia" w:ascii="宋体" w:hAnsi="宋体"/>
          <w:sz w:val="30"/>
          <w:szCs w:val="30"/>
          <w:lang w:eastAsia="zh-CN"/>
        </w:rPr>
        <w:t>雇用的叉车、人工装车等所有费用</w:t>
      </w:r>
      <w:r>
        <w:rPr>
          <w:rFonts w:ascii="宋体" w:hAnsi="宋体" w:eastAsia="宋体"/>
          <w:sz w:val="30"/>
          <w:szCs w:val="30"/>
          <w:lang w:eastAsia="zh-CN"/>
        </w:rPr>
        <w:t>由接收单位负责。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outlineLvl w:val="9"/>
        <w:rPr>
          <w:rFonts w:ascii="宋体" w:hAnsi="宋体" w:eastAsia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</w:t>
      </w:r>
      <w:r>
        <w:rPr>
          <w:rFonts w:ascii="宋体" w:hAnsi="宋体" w:eastAsia="宋体"/>
          <w:b/>
          <w:bCs/>
          <w:sz w:val="30"/>
          <w:szCs w:val="30"/>
          <w:lang w:val="en-US" w:eastAsia="zh-CN"/>
        </w:rPr>
        <w:t>、</w:t>
      </w:r>
      <w:r>
        <w:rPr>
          <w:rFonts w:ascii="宋体" w:hAnsi="宋体" w:eastAsia="宋体"/>
          <w:b/>
          <w:bCs/>
          <w:sz w:val="28"/>
          <w:szCs w:val="28"/>
          <w:lang w:val="en-US" w:eastAsia="zh-CN"/>
        </w:rPr>
        <w:t>要求：</w:t>
      </w:r>
      <w:r>
        <w:rPr>
          <w:rFonts w:ascii="宋体" w:hAnsi="宋体" w:eastAsia="宋体"/>
          <w:sz w:val="28"/>
          <w:szCs w:val="28"/>
          <w:lang w:val="en-US" w:eastAsia="zh-CN"/>
        </w:rPr>
        <w:t>接收单位提供营业执照、危险废物经营许可证；根据危险废物经营许可证核准的危险废物种类进行报价。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outlineLvl w:val="9"/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八</w:t>
      </w:r>
      <w:r>
        <w:rPr>
          <w:rFonts w:ascii="宋体" w:hAnsi="宋体" w:eastAsia="宋体"/>
          <w:b/>
          <w:bCs/>
          <w:sz w:val="30"/>
          <w:szCs w:val="30"/>
          <w:lang w:eastAsia="zh-CN"/>
        </w:rPr>
        <w:t>、投标邮箱：</w: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fldChar w:fldCharType="begin"/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t>j</w:t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>inbaocg@chinajinbao.com</w: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  <w:fldChar w:fldCharType="end"/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fldChar w:fldCharType="begin"/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fldChar w:fldCharType="separate"/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36"/>
          <w:u w:val="none"/>
          <w:lang w:val="en-US" w:eastAsia="zh-CN"/>
        </w:rPr>
        <w:t>同时抄送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u w:val="single"/>
          <w:lang w:val="en-US" w:eastAsia="zh-CN"/>
        </w:rPr>
        <w:t>sdjbzb@163.com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和</w:t>
      </w:r>
      <w:r>
        <w:rPr>
          <w:rStyle w:val="189"/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>lwenling@chinajinbao.com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fldChar w:fldCharType="end"/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outlineLvl w:val="9"/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九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危废处置日期：截止到2024年12月31日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outlineLvl w:val="9"/>
        <w:rPr>
          <w:rFonts w:hint="default" w:ascii="宋体" w:hAnsi="宋体" w:eastAsia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十、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投标</w:t>
      </w: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截止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时间：</w:t>
      </w:r>
      <w:r>
        <w:rPr>
          <w:rFonts w:hint="eastAsia" w:ascii="宋体" w:hAnsi="宋体"/>
          <w:b/>
          <w:bCs/>
          <w:color w:val="auto"/>
          <w:sz w:val="28"/>
          <w:szCs w:val="36"/>
          <w:lang w:val="en-US" w:eastAsia="zh-CN"/>
        </w:rPr>
        <w:t>2023年12月26日 16:00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outlineLvl w:val="9"/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十一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、投标联系人：</w:t>
      </w:r>
      <w:r>
        <w:rPr>
          <w:rFonts w:ascii="宋体" w:hAnsi="宋体" w:eastAsia="宋体"/>
          <w:b w:val="0"/>
          <w:bCs w:val="0"/>
          <w:color w:val="000000"/>
          <w:sz w:val="28"/>
          <w:szCs w:val="36"/>
          <w:lang w:val="en-US" w:eastAsia="zh-CN"/>
        </w:rPr>
        <w:t>秦忠菊  15684066196</w:t>
      </w:r>
    </w:p>
    <w:p>
      <w:pPr>
        <w:pStyle w:val="18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outlineLvl w:val="9"/>
        <w:rPr>
          <w:rFonts w:ascii="宋体" w:hAnsi="宋体" w:eastAsia="宋体"/>
          <w:b w:val="0"/>
          <w:bCs w:val="0"/>
          <w:color w:val="000000" w:themeColor="text1"/>
          <w:sz w:val="28"/>
          <w:szCs w:val="36"/>
        </w:rPr>
      </w:pPr>
      <w:r>
        <w:rPr>
          <w:rFonts w:hint="eastAsia" w:ascii="宋体" w:hAnsi="宋体"/>
          <w:b/>
          <w:bCs/>
          <w:color w:val="000000"/>
          <w:sz w:val="28"/>
          <w:szCs w:val="36"/>
          <w:lang w:val="en-US" w:eastAsia="zh-CN"/>
        </w:rPr>
        <w:t>十二</w:t>
      </w:r>
      <w:r>
        <w:rPr>
          <w:rFonts w:ascii="宋体" w:hAnsi="宋体" w:eastAsia="宋体"/>
          <w:b/>
          <w:bCs/>
          <w:color w:val="000000"/>
          <w:sz w:val="28"/>
          <w:szCs w:val="36"/>
          <w:lang w:val="en-US" w:eastAsia="zh-CN"/>
        </w:rPr>
        <w:t>、现场对接人：</w:t>
      </w:r>
      <w:r>
        <w:rPr>
          <w:rFonts w:ascii="宋体" w:hAnsi="宋体" w:eastAsia="宋体"/>
          <w:b w:val="0"/>
          <w:bCs w:val="0"/>
          <w:color w:val="000000" w:themeColor="text1"/>
          <w:sz w:val="28"/>
          <w:szCs w:val="36"/>
          <w:lang w:val="en-US" w:eastAsia="zh-CN"/>
        </w:rPr>
        <w:t xml:space="preserve">马世举  </w:t>
      </w:r>
      <w:r>
        <w:rPr>
          <w:rFonts w:ascii="宋体" w:hAnsi="宋体" w:eastAsia="宋体"/>
          <w:b w:val="0"/>
          <w:bCs w:val="0"/>
          <w:color w:val="000000" w:themeColor="text1"/>
          <w:sz w:val="28"/>
          <w:szCs w:val="28"/>
          <w:lang w:val="en-US" w:eastAsia="zh-CN"/>
        </w:rPr>
        <w:t>13853579663</w:t>
      </w: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4200"/>
        <w:outlineLvl w:val="9"/>
        <w:rPr>
          <w:rFonts w:ascii="黑体" w:eastAsia="黑体"/>
          <w:sz w:val="30"/>
          <w:szCs w:val="30"/>
          <w:lang w:val="en-US" w:eastAsia="zh-CN"/>
        </w:rPr>
      </w:pP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4200"/>
        <w:outlineLvl w:val="9"/>
        <w:rPr>
          <w:rFonts w:ascii="黑体" w:eastAsia="黑体"/>
          <w:sz w:val="30"/>
          <w:szCs w:val="30"/>
          <w:lang w:val="en-US" w:eastAsia="zh-CN"/>
        </w:rPr>
      </w:pP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4200"/>
        <w:outlineLvl w:val="9"/>
        <w:rPr>
          <w:rFonts w:ascii="黑体" w:eastAsia="黑体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  <w:lang w:val="en-US" w:eastAsia="zh-CN"/>
        </w:rPr>
        <w:t>山东金宝电子有限公司</w:t>
      </w: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4200"/>
        <w:outlineLvl w:val="9"/>
        <w:rPr>
          <w:rFonts w:ascii="黑体" w:eastAsia="黑体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  <w:lang w:val="en-US" w:eastAsia="zh-CN"/>
        </w:rPr>
        <w:t>山东金都电子材料有限公司</w:t>
      </w:r>
    </w:p>
    <w:p>
      <w:pPr>
        <w:pStyle w:val="181"/>
        <w:keepNext w:val="0"/>
        <w:keepLines w:val="0"/>
        <w:pageBreakBefore w:val="0"/>
        <w:widowControl w:val="0"/>
        <w:spacing w:line="540" w:lineRule="exact"/>
        <w:ind w:firstLine="600"/>
        <w:outlineLvl w:val="9"/>
        <w:rPr>
          <w:rFonts w:hint="default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2023.12.20</w:t>
      </w:r>
    </w:p>
    <w:sectPr>
      <w:pgSz w:w="11906" w:h="16838"/>
      <w:pgMar w:top="1417" w:right="1701" w:bottom="1417" w:left="1701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80D8"/>
    <w:multiLevelType w:val="singleLevel"/>
    <w:tmpl w:val="110B80D8"/>
    <w:lvl w:ilvl="0" w:tentative="0">
      <w:start w:val="5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DQ5NjQ5ZjkzNzY3YzYzMmIxNWNiZDFkZTY2YTYifQ=="/>
  </w:docVars>
  <w:rsids>
    <w:rsidRoot w:val="00000000"/>
    <w:rsid w:val="00BC7BCA"/>
    <w:rsid w:val="02343EDC"/>
    <w:rsid w:val="033C49A3"/>
    <w:rsid w:val="04BE559F"/>
    <w:rsid w:val="04FD5CC1"/>
    <w:rsid w:val="069C751A"/>
    <w:rsid w:val="06A44F70"/>
    <w:rsid w:val="073C06A5"/>
    <w:rsid w:val="08542F27"/>
    <w:rsid w:val="09260E54"/>
    <w:rsid w:val="094A47A9"/>
    <w:rsid w:val="0C7B082A"/>
    <w:rsid w:val="0D8727EA"/>
    <w:rsid w:val="0E6F20D1"/>
    <w:rsid w:val="0EFA6E5A"/>
    <w:rsid w:val="12216DAE"/>
    <w:rsid w:val="12A72CD1"/>
    <w:rsid w:val="13A52402"/>
    <w:rsid w:val="13FD4E93"/>
    <w:rsid w:val="14A31D5E"/>
    <w:rsid w:val="14F06616"/>
    <w:rsid w:val="15F112C6"/>
    <w:rsid w:val="17461B58"/>
    <w:rsid w:val="17F23F84"/>
    <w:rsid w:val="1853384A"/>
    <w:rsid w:val="18F36A72"/>
    <w:rsid w:val="1B9D3E03"/>
    <w:rsid w:val="1BF223E1"/>
    <w:rsid w:val="1C70395E"/>
    <w:rsid w:val="1CDC28E0"/>
    <w:rsid w:val="1D642111"/>
    <w:rsid w:val="1ED833F1"/>
    <w:rsid w:val="21F76E47"/>
    <w:rsid w:val="23A503FA"/>
    <w:rsid w:val="23A964AB"/>
    <w:rsid w:val="23EF5C64"/>
    <w:rsid w:val="28BF64DE"/>
    <w:rsid w:val="2CC43883"/>
    <w:rsid w:val="2CEB0C34"/>
    <w:rsid w:val="2DDD275B"/>
    <w:rsid w:val="2E106DFF"/>
    <w:rsid w:val="2E84720F"/>
    <w:rsid w:val="2EBA2A9C"/>
    <w:rsid w:val="2F2858BA"/>
    <w:rsid w:val="2FA85C89"/>
    <w:rsid w:val="33077A41"/>
    <w:rsid w:val="34782ED3"/>
    <w:rsid w:val="359B1906"/>
    <w:rsid w:val="35A632C1"/>
    <w:rsid w:val="35D25A29"/>
    <w:rsid w:val="362D0976"/>
    <w:rsid w:val="370D6DF5"/>
    <w:rsid w:val="37DF2ABB"/>
    <w:rsid w:val="38C52A81"/>
    <w:rsid w:val="391E6AEA"/>
    <w:rsid w:val="39636FE5"/>
    <w:rsid w:val="3A6F1FDB"/>
    <w:rsid w:val="3B6B0B7D"/>
    <w:rsid w:val="3D9441B7"/>
    <w:rsid w:val="3DD55F4F"/>
    <w:rsid w:val="3EE33791"/>
    <w:rsid w:val="3FD46D93"/>
    <w:rsid w:val="40ED0AAF"/>
    <w:rsid w:val="41B36150"/>
    <w:rsid w:val="42FD1E3C"/>
    <w:rsid w:val="44290E50"/>
    <w:rsid w:val="44BE23FC"/>
    <w:rsid w:val="474377FE"/>
    <w:rsid w:val="47F869EB"/>
    <w:rsid w:val="480367DD"/>
    <w:rsid w:val="493A1D44"/>
    <w:rsid w:val="4976351A"/>
    <w:rsid w:val="49A50516"/>
    <w:rsid w:val="4A3C3C13"/>
    <w:rsid w:val="51265F31"/>
    <w:rsid w:val="518014CC"/>
    <w:rsid w:val="52053E55"/>
    <w:rsid w:val="521B438E"/>
    <w:rsid w:val="534A3B3F"/>
    <w:rsid w:val="593408F8"/>
    <w:rsid w:val="5AE43DEC"/>
    <w:rsid w:val="5CAE2661"/>
    <w:rsid w:val="5E9C6D01"/>
    <w:rsid w:val="60AF1486"/>
    <w:rsid w:val="60CF1B28"/>
    <w:rsid w:val="6402061E"/>
    <w:rsid w:val="6442594D"/>
    <w:rsid w:val="64616F3B"/>
    <w:rsid w:val="65B639A5"/>
    <w:rsid w:val="69453FB4"/>
    <w:rsid w:val="6C0E769F"/>
    <w:rsid w:val="6CD21441"/>
    <w:rsid w:val="6E974F2A"/>
    <w:rsid w:val="6EAD34A8"/>
    <w:rsid w:val="71AC1D09"/>
    <w:rsid w:val="72F5541E"/>
    <w:rsid w:val="760F453B"/>
    <w:rsid w:val="770E2CFF"/>
    <w:rsid w:val="776710EF"/>
    <w:rsid w:val="77A74BD0"/>
    <w:rsid w:val="78A90D34"/>
    <w:rsid w:val="79FD2E0A"/>
    <w:rsid w:val="7BBE64B5"/>
    <w:rsid w:val="7DFB61E4"/>
    <w:rsid w:val="7E81541F"/>
    <w:rsid w:val="7F1034E2"/>
    <w:rsid w:val="7F88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next w:val="1"/>
    <w:link w:val="3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ascii="Times New Roman" w:hAnsi="Times New Roman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ascii="Times New Roman" w:hAnsi="Times New Roman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ascii="Times New Roman" w:hAnsi="Times New Roman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ascii="Times New Roman" w:hAnsi="Times New Roman" w:eastAsia="宋体" w:cs="Times New Roman"/>
    </w:rPr>
  </w:style>
  <w:style w:type="paragraph" w:styleId="16">
    <w:name w:val="endnote text"/>
    <w:link w:val="17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</w:rPr>
  </w:style>
  <w:style w:type="paragraph" w:styleId="17">
    <w:name w:val="foot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8">
    <w:name w:val="header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ascii="Times New Roman" w:hAnsi="Times New Roman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ascii="Times New Roman" w:hAnsi="Times New Roman" w:eastAsia="宋体" w:cs="Times New Roman"/>
    </w:rPr>
  </w:style>
  <w:style w:type="paragraph" w:styleId="21">
    <w:name w:val="Subtitle"/>
    <w:link w:val="45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footnote text"/>
    <w:link w:val="178"/>
    <w:semiHidden/>
    <w:unhideWhenUsed/>
    <w:qFormat/>
    <w:uiPriority w:val="99"/>
    <w:pPr>
      <w:spacing w:after="40" w:line="240" w:lineRule="auto"/>
    </w:pPr>
    <w:rPr>
      <w:rFonts w:ascii="Times New Roman" w:hAnsi="Times New Roman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ascii="Times New Roman" w:hAnsi="Times New Roman" w:eastAsia="宋体" w:cs="Times New Roman"/>
    </w:rPr>
  </w:style>
  <w:style w:type="paragraph" w:styleId="24">
    <w:name w:val="toc 2"/>
    <w:next w:val="1"/>
    <w:unhideWhenUsed/>
    <w:qFormat/>
    <w:uiPriority w:val="39"/>
    <w:pPr>
      <w:spacing w:after="57"/>
      <w:ind w:left="283" w:right="0" w:firstLine="0"/>
    </w:pPr>
    <w:rPr>
      <w:rFonts w:ascii="Times New Roman" w:hAnsi="Times New Roman" w:eastAsia="宋体" w:cs="Times New Roman"/>
    </w:rPr>
  </w:style>
  <w:style w:type="paragraph" w:styleId="25">
    <w:name w:val="toc 9"/>
    <w:next w:val="1"/>
    <w:unhideWhenUsed/>
    <w:qFormat/>
    <w:uiPriority w:val="39"/>
    <w:pPr>
      <w:spacing w:after="57"/>
      <w:ind w:left="2268" w:right="0" w:firstLine="0"/>
    </w:pPr>
    <w:rPr>
      <w:rFonts w:ascii="Times New Roman" w:hAnsi="Times New Roman" w:eastAsia="宋体" w:cs="Times New Roman"/>
    </w:rPr>
  </w:style>
  <w:style w:type="paragraph" w:styleId="26">
    <w:name w:val="Title"/>
    <w:link w:val="44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</w:rPr>
  </w:style>
  <w:style w:type="character" w:styleId="28">
    <w:name w:val="endnote reference"/>
    <w:semiHidden/>
    <w:unhideWhenUsed/>
    <w:qFormat/>
    <w:uiPriority w:val="99"/>
    <w:rPr>
      <w:vertAlign w:val="superscript"/>
    </w:rPr>
  </w:style>
  <w:style w:type="character" w:styleId="29">
    <w:name w:val="Hyperlink"/>
    <w:unhideWhenUsed/>
    <w:qFormat/>
    <w:uiPriority w:val="99"/>
    <w:rPr>
      <w:color w:val="0000FF" w:themeColor="hyperlink"/>
      <w:u w:val="single"/>
    </w:rPr>
  </w:style>
  <w:style w:type="character" w:styleId="30">
    <w:name w:val="footnote reference"/>
    <w:unhideWhenUsed/>
    <w:qFormat/>
    <w:uiPriority w:val="99"/>
    <w:rPr>
      <w:vertAlign w:val="superscript"/>
    </w:rPr>
  </w:style>
  <w:style w:type="table" w:styleId="32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4">
    <w:name w:val="Title Char"/>
    <w:link w:val="26"/>
    <w:qFormat/>
    <w:uiPriority w:val="10"/>
    <w:rPr>
      <w:sz w:val="48"/>
      <w:szCs w:val="48"/>
    </w:rPr>
  </w:style>
  <w:style w:type="character" w:customStyle="1" w:styleId="45">
    <w:name w:val="Subtitle Char"/>
    <w:link w:val="21"/>
    <w:qFormat/>
    <w:uiPriority w:val="11"/>
    <w:rPr>
      <w:sz w:val="24"/>
      <w:szCs w:val="24"/>
    </w:rPr>
  </w:style>
  <w:style w:type="paragraph" w:styleId="46">
    <w:name w:val="Quote"/>
    <w:link w:val="47"/>
    <w:qFormat/>
    <w:uiPriority w:val="29"/>
    <w:pPr>
      <w:ind w:left="720" w:right="720"/>
    </w:pPr>
    <w:rPr>
      <w:rFonts w:ascii="Times New Roman" w:hAnsi="Times New Roman" w:eastAsia="宋体" w:cs="Times New Roman"/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="Times New Roman" w:hAnsi="Times New Roman" w:eastAsia="宋体" w:cs="Times New Roman"/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link w:val="18"/>
    <w:qFormat/>
    <w:uiPriority w:val="99"/>
  </w:style>
  <w:style w:type="character" w:customStyle="1" w:styleId="51">
    <w:name w:val="Footer Char"/>
    <w:link w:val="17"/>
    <w:qFormat/>
    <w:uiPriority w:val="99"/>
  </w:style>
  <w:style w:type="character" w:customStyle="1" w:styleId="52">
    <w:name w:val="Caption Char"/>
    <w:link w:val="17"/>
    <w:qFormat/>
    <w:uiPriority w:val="99"/>
  </w:style>
  <w:style w:type="table" w:customStyle="1" w:styleId="5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3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0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1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2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3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4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7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8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0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2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4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22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="Times New Roman" w:hAnsi="Times New Roman" w:eastAsia="宋体" w:cs="Times New Roman"/>
    </w:rPr>
  </w:style>
  <w:style w:type="paragraph" w:customStyle="1" w:styleId="181">
    <w:name w:val="正文1"/>
    <w:link w:val="19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2">
    <w:name w:val="默认段落字体1"/>
    <w:link w:val="18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正文文本1"/>
    <w:basedOn w:val="181"/>
    <w:qFormat/>
    <w:uiPriority w:val="0"/>
    <w:pPr>
      <w:spacing w:after="120"/>
    </w:pPr>
  </w:style>
  <w:style w:type="paragraph" w:customStyle="1" w:styleId="185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86">
    <w:name w:val="页脚1"/>
    <w:basedOn w:val="18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7">
    <w:name w:val="页眉1"/>
    <w:basedOn w:val="18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188">
    <w:name w:val="网格型1"/>
    <w:basedOn w:val="183"/>
    <w:qFormat/>
    <w:uiPriority w:val="0"/>
  </w:style>
  <w:style w:type="character" w:customStyle="1" w:styleId="189">
    <w:name w:val="超链接1"/>
    <w:basedOn w:val="182"/>
    <w:link w:val="181"/>
    <w:qFormat/>
    <w:uiPriority w:val="0"/>
    <w:rPr>
      <w:color w:val="0000FF"/>
      <w:u w:val="single"/>
    </w:rPr>
  </w:style>
  <w:style w:type="character" w:customStyle="1" w:styleId="190">
    <w:name w:val="apple-converted-space"/>
    <w:basedOn w:val="182"/>
    <w:link w:val="181"/>
    <w:qFormat/>
    <w:uiPriority w:val="0"/>
  </w:style>
  <w:style w:type="paragraph" w:customStyle="1" w:styleId="191">
    <w:name w:val="列出段落"/>
    <w:basedOn w:val="18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995</Words>
  <Characters>1198</Characters>
  <TotalTime>7</TotalTime>
  <ScaleCrop>false</ScaleCrop>
  <LinksUpToDate>false</LinksUpToDate>
  <CharactersWithSpaces>1282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2023-01-03T01:10:00Z</dcterms:created>
  <dc:creator>Administrator</dc:creator>
  <cp:lastModifiedBy>Administrator</cp:lastModifiedBy>
  <cp:lastPrinted>2023-12-19T05:24:00Z</cp:lastPrinted>
  <dcterms:modified xsi:type="dcterms:W3CDTF">2023-12-20T00:17:36Z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C1D777B077F441999A355114FEE73AA0</vt:lpwstr>
  </property>
</Properties>
</file>