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1"/>
        <w:jc w:val="center"/>
        <w:rPr>
          <w:rFonts w:ascii="黑体" w:eastAsia="黑体"/>
          <w:sz w:val="36"/>
          <w:szCs w:val="36"/>
          <w:lang w:eastAsia="zh-CN"/>
        </w:rPr>
      </w:pPr>
      <w:r>
        <w:rPr>
          <w:rFonts w:ascii="黑体" w:eastAsia="黑体"/>
          <w:sz w:val="44"/>
          <w:szCs w:val="44"/>
          <w:lang w:val="en-US" w:eastAsia="zh-CN"/>
        </w:rPr>
        <w:t xml:space="preserve">  </w:t>
      </w:r>
      <w:r>
        <w:rPr>
          <w:rFonts w:ascii="黑体" w:eastAsia="黑体"/>
          <w:sz w:val="44"/>
          <w:szCs w:val="44"/>
          <w:lang w:eastAsia="zh-CN"/>
        </w:rPr>
        <w:t>危</w:t>
      </w:r>
      <w:r>
        <w:rPr>
          <w:rFonts w:hint="eastAsia" w:ascii="黑体" w:eastAsia="黑体"/>
          <w:sz w:val="44"/>
          <w:szCs w:val="44"/>
          <w:lang w:eastAsia="zh-CN"/>
        </w:rPr>
        <w:t>险</w:t>
      </w:r>
      <w:r>
        <w:rPr>
          <w:rFonts w:ascii="黑体" w:eastAsia="黑体"/>
          <w:sz w:val="44"/>
          <w:szCs w:val="44"/>
          <w:lang w:eastAsia="zh-CN"/>
        </w:rPr>
        <w:t>废</w:t>
      </w:r>
      <w:r>
        <w:rPr>
          <w:rFonts w:hint="eastAsia" w:ascii="黑体" w:eastAsia="黑体"/>
          <w:sz w:val="44"/>
          <w:szCs w:val="44"/>
          <w:lang w:eastAsia="zh-CN"/>
        </w:rPr>
        <w:t>物</w:t>
      </w:r>
      <w:r>
        <w:rPr>
          <w:rFonts w:ascii="黑体" w:eastAsia="黑体"/>
          <w:sz w:val="44"/>
          <w:szCs w:val="44"/>
          <w:lang w:eastAsia="zh-CN"/>
        </w:rPr>
        <w:t>处置询价单</w:t>
      </w:r>
    </w:p>
    <w:p>
      <w:pPr>
        <w:pStyle w:val="181"/>
        <w:keepNext w:val="0"/>
        <w:keepLines w:val="0"/>
        <w:pageBreakBefore w:val="0"/>
        <w:widowControl w:val="0"/>
        <w:spacing w:line="500" w:lineRule="exact"/>
        <w:outlineLvl w:val="9"/>
        <w:rPr>
          <w:rFonts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</w:t>
      </w:r>
      <w:r>
        <w:rPr>
          <w:rFonts w:ascii="宋体" w:hAnsi="宋体" w:eastAsia="宋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危险废物种类、产生量、处置费</w:t>
      </w:r>
    </w:p>
    <w:tbl>
      <w:tblPr>
        <w:tblStyle w:val="31"/>
        <w:tblW w:w="8735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234"/>
        <w:gridCol w:w="1133"/>
        <w:gridCol w:w="1350"/>
        <w:gridCol w:w="25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both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序号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840" w:firstLineChars="400"/>
              <w:jc w:val="both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  <w:p>
            <w:pPr>
              <w:pStyle w:val="181"/>
              <w:keepNext w:val="0"/>
              <w:keepLines w:val="0"/>
              <w:widowControl/>
              <w:suppressLineNumbers w:val="0"/>
              <w:ind w:firstLine="840" w:firstLineChars="400"/>
              <w:jc w:val="both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危废种类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、代码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拟处置量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（吨）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处置费（元/吨）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矿物油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 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900-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214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08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   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2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矿物油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  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900-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214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08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 xml:space="preserve">    金宝     金都       （油水混合物）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3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废冷冻机油   900-219-08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       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4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废导热油     900-249-08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5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软水制备废树脂  900-015-13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6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废树脂       265-101-13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7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含锌污泥     336-052-17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8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含铬污泥     336-060-17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9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含铬废液     336-069-17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10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废灯管       900-023-29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0.08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11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废活性炭     900-039-49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金宝          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（废气处理设施用）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12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废滤芯滤袋   900-041-49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13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活性炭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 9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00-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041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   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14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废硅藻土     900-041-49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       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15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废包装袋     900-041-49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    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16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废劳保       900-041-49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0.06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17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left="1470" w:leftChars="0" w:hanging="1470" w:hangingChars="70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废硒鼓墨盒    900-041-49  900-299-12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0.06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18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废试剂瓶     900-047-49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19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残液         900-047-49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20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废药品       900-047-49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left="626" w:leftChars="208" w:hanging="210" w:hangingChars="100"/>
              <w:jc w:val="left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  <w:p>
            <w:pPr>
              <w:pStyle w:val="181"/>
              <w:keepNext w:val="0"/>
              <w:keepLines w:val="0"/>
              <w:widowControl/>
              <w:suppressLineNumbers w:val="0"/>
              <w:ind w:left="626" w:leftChars="208" w:hanging="210" w:hangingChars="10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（含剧毒、易制毒、易燃易爆）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21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含油抹布     900-041-49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ind w:left="626" w:leftChars="208" w:hanging="210" w:hangingChars="10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金宝     金都</w:t>
            </w:r>
          </w:p>
        </w:tc>
      </w:tr>
    </w:tbl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spacing w:line="480" w:lineRule="exact"/>
        <w:outlineLvl w:val="9"/>
        <w:rPr>
          <w:rFonts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二、投标保证金</w:t>
      </w:r>
      <w:r>
        <w:rPr>
          <w:rFonts w:hint="eastAsia" w:ascii="宋体" w:hAnsi="宋体"/>
          <w:b/>
          <w:bCs/>
          <w:sz w:val="30"/>
          <w:szCs w:val="30"/>
          <w:u w:val="single"/>
          <w:lang w:eastAsia="zh-CN"/>
        </w:rPr>
        <w:t>：贰</w:t>
      </w:r>
      <w:r>
        <w:rPr>
          <w:rFonts w:ascii="宋体" w:hAnsi="宋体" w:eastAsia="宋体"/>
          <w:b/>
          <w:bCs/>
          <w:color w:val="auto"/>
          <w:sz w:val="30"/>
          <w:szCs w:val="30"/>
          <w:u w:val="single"/>
        </w:rPr>
        <w:t>万</w:t>
      </w:r>
      <w:r>
        <w:rPr>
          <w:rFonts w:ascii="宋体" w:hAnsi="宋体" w:eastAsia="宋体"/>
          <w:b/>
          <w:bCs/>
          <w:color w:val="000000"/>
          <w:sz w:val="30"/>
          <w:szCs w:val="30"/>
          <w:u w:val="single"/>
        </w:rPr>
        <w:t>元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人民币</w:t>
      </w:r>
      <w:r>
        <w:rPr>
          <w:rFonts w:ascii="宋体" w:hAnsi="宋体" w:eastAsia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spacing w:line="480" w:lineRule="exact"/>
        <w:ind w:firstLine="600" w:firstLineChars="200"/>
        <w:outlineLvl w:val="9"/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请投标单位于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2023年11月3日16:00前公户汇款，底单发给投标联系人。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spacing w:line="480" w:lineRule="exact"/>
        <w:ind w:firstLine="602" w:firstLineChars="200"/>
        <w:outlineLvl w:val="9"/>
        <w:rPr>
          <w:rFonts w:ascii="宋体" w:hAnsi="宋体" w:eastAsia="宋体"/>
          <w:b/>
          <w:bCs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:lang w:eastAsia="zh-CN"/>
        </w:rPr>
        <w:t>汇款资料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:lang w:eastAsia="zh-CN"/>
        </w:rPr>
        <w:t>：</w:t>
      </w:r>
    </w:p>
    <w:p>
      <w:pPr>
        <w:pStyle w:val="181"/>
        <w:keepNext w:val="0"/>
        <w:keepLines w:val="0"/>
        <w:pageBreakBefore w:val="0"/>
        <w:widowControl w:val="0"/>
        <w:spacing w:after="0" w:line="480" w:lineRule="exact"/>
        <w:ind w:right="70" w:firstLine="562" w:firstLineChars="200"/>
        <w:rPr>
          <w:rFonts w:ascii="宋体" w:hAnsi="宋体" w:eastAsia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单位名称：山东金宝电子有限公司</w:t>
      </w:r>
    </w:p>
    <w:p>
      <w:pPr>
        <w:pStyle w:val="181"/>
        <w:keepNext w:val="0"/>
        <w:keepLines w:val="0"/>
        <w:pageBreakBefore w:val="0"/>
        <w:widowControl w:val="0"/>
        <w:spacing w:after="0" w:line="480" w:lineRule="exact"/>
        <w:ind w:right="70" w:firstLine="562" w:firstLineChars="200"/>
        <w:rPr>
          <w:rFonts w:hint="default" w:ascii="宋体" w:hAnsi="宋体" w:eastAsia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帐  号：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</w:rPr>
        <w:t>5000 6473 3510 017</w:t>
      </w:r>
    </w:p>
    <w:p>
      <w:pPr>
        <w:pStyle w:val="181"/>
        <w:keepNext w:val="0"/>
        <w:keepLines w:val="0"/>
        <w:pageBreakBefore w:val="0"/>
        <w:widowControl w:val="0"/>
        <w:spacing w:after="0" w:line="480" w:lineRule="exact"/>
        <w:ind w:right="70" w:firstLine="562" w:firstLineChars="200"/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开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户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行：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</w:rPr>
        <w:t>恒丰银行招远支行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spacing w:line="500" w:lineRule="exact"/>
        <w:ind w:firstLine="600" w:firstLineChars="200"/>
        <w:outlineLvl w:val="9"/>
        <w:rPr>
          <w:rFonts w:hint="default" w:ascii="宋体" w:hAnsi="宋体" w:eastAsia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投标人未中标，投标保证金将在竞标结束后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无息返还。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中标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方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的投标保证金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将在合同签订后，自动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转为履约保证金。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中标方放弃中标权利，投标保证金将予以没收。未缴纳投标保证金的，一概视为废标。</w:t>
      </w:r>
      <w:r>
        <w:rPr>
          <w:rFonts w:ascii="宋体" w:hAnsi="宋体" w:eastAsia="宋体"/>
          <w:sz w:val="30"/>
          <w:szCs w:val="30"/>
        </w:rPr>
        <w:t>每批货物结算时，重量以</w:t>
      </w:r>
      <w:r>
        <w:rPr>
          <w:rFonts w:ascii="宋体" w:hAnsi="宋体" w:eastAsia="宋体"/>
          <w:sz w:val="30"/>
          <w:szCs w:val="30"/>
          <w:lang w:eastAsia="zh-CN"/>
        </w:rPr>
        <w:t>我公司</w:t>
      </w:r>
      <w:r>
        <w:rPr>
          <w:rFonts w:ascii="宋体" w:hAnsi="宋体" w:eastAsia="宋体"/>
          <w:sz w:val="30"/>
          <w:szCs w:val="30"/>
        </w:rPr>
        <w:t>过磅</w:t>
      </w:r>
      <w:r>
        <w:rPr>
          <w:rFonts w:hint="eastAsia" w:ascii="宋体" w:hAnsi="宋体"/>
          <w:sz w:val="30"/>
          <w:szCs w:val="30"/>
          <w:lang w:eastAsia="zh-CN"/>
        </w:rPr>
        <w:t>单</w:t>
      </w:r>
      <w:r>
        <w:rPr>
          <w:rFonts w:ascii="宋体" w:hAnsi="宋体" w:eastAsia="宋体"/>
          <w:sz w:val="30"/>
          <w:szCs w:val="30"/>
        </w:rPr>
        <w:t>为准，单价以上述约定为准</w:t>
      </w:r>
      <w:r>
        <w:rPr>
          <w:rFonts w:ascii="宋体" w:hAnsi="宋体" w:eastAsia="宋体"/>
          <w:sz w:val="30"/>
          <w:szCs w:val="30"/>
          <w:lang w:eastAsia="zh-CN"/>
        </w:rPr>
        <w:t>。</w:t>
      </w:r>
      <w:r>
        <w:rPr>
          <w:rFonts w:hint="eastAsia" w:ascii="宋体" w:hAnsi="宋体"/>
          <w:sz w:val="30"/>
          <w:szCs w:val="30"/>
          <w:lang w:eastAsia="zh-CN"/>
        </w:rPr>
        <w:t>我公司收款的，按照过磅单重量</w:t>
      </w:r>
      <w:r>
        <w:rPr>
          <w:rFonts w:hint="eastAsia" w:ascii="宋体" w:hAnsi="宋体"/>
          <w:sz w:val="30"/>
          <w:szCs w:val="30"/>
          <w:lang w:val="en-US" w:eastAsia="zh-CN"/>
        </w:rPr>
        <w:t>(吨)x处置费(元/吨)</w:t>
      </w:r>
      <w:r>
        <w:rPr>
          <w:rFonts w:hint="eastAsia" w:ascii="宋体" w:hAnsi="宋体"/>
          <w:sz w:val="30"/>
          <w:szCs w:val="30"/>
          <w:lang w:eastAsia="zh-CN"/>
        </w:rPr>
        <w:t>当日将货款电汇至合同中约定的账户，</w:t>
      </w:r>
      <w:r>
        <w:rPr>
          <w:rFonts w:ascii="宋体" w:hAnsi="宋体" w:eastAsia="宋体"/>
          <w:color w:val="000000"/>
          <w:sz w:val="30"/>
          <w:szCs w:val="30"/>
        </w:rPr>
        <w:t>付款后</w:t>
      </w:r>
      <w:r>
        <w:rPr>
          <w:rFonts w:ascii="宋体" w:hAnsi="宋体" w:eastAsia="宋体"/>
          <w:color w:val="000000"/>
          <w:sz w:val="30"/>
          <w:szCs w:val="30"/>
          <w:lang w:eastAsia="zh-CN"/>
        </w:rPr>
        <w:t>我公司</w:t>
      </w:r>
      <w:r>
        <w:rPr>
          <w:rFonts w:ascii="宋体" w:hAnsi="宋体" w:eastAsia="宋体"/>
          <w:color w:val="000000"/>
          <w:sz w:val="30"/>
          <w:szCs w:val="30"/>
        </w:rPr>
        <w:t>按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合同</w:t>
      </w:r>
      <w:r>
        <w:rPr>
          <w:rFonts w:ascii="宋体" w:hAnsi="宋体" w:eastAsia="宋体"/>
          <w:color w:val="000000"/>
          <w:sz w:val="30"/>
          <w:szCs w:val="30"/>
        </w:rPr>
        <w:t>约定开具13%增值税专用发票给</w:t>
      </w:r>
      <w:r>
        <w:rPr>
          <w:rFonts w:ascii="宋体" w:hAnsi="宋体" w:eastAsia="宋体"/>
          <w:color w:val="000000"/>
          <w:sz w:val="30"/>
          <w:szCs w:val="30"/>
          <w:lang w:eastAsia="zh-CN"/>
        </w:rPr>
        <w:t>接收单位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。我公司付款的，收到按合同约定结算的增值税专用发票后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15个工作日内电汇至接收单位。履约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保证</w:t>
      </w:r>
      <w:r>
        <w:rPr>
          <w:rFonts w:ascii="宋体" w:hAnsi="宋体" w:eastAsia="宋体"/>
          <w:color w:val="auto"/>
          <w:sz w:val="30"/>
          <w:szCs w:val="30"/>
        </w:rPr>
        <w:t>金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将</w:t>
      </w:r>
      <w:r>
        <w:rPr>
          <w:rFonts w:ascii="宋体" w:hAnsi="宋体" w:eastAsia="宋体"/>
          <w:color w:val="auto"/>
          <w:sz w:val="30"/>
          <w:szCs w:val="30"/>
        </w:rPr>
        <w:t>在合同终止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后免息返还。</w:t>
      </w:r>
    </w:p>
    <w:p>
      <w:pPr>
        <w:pStyle w:val="181"/>
        <w:keepNext w:val="0"/>
        <w:keepLines w:val="0"/>
        <w:pageBreakBefore w:val="0"/>
        <w:widowControl w:val="0"/>
        <w:spacing w:line="480" w:lineRule="exact"/>
        <w:ind w:firstLine="600"/>
        <w:outlineLvl w:val="9"/>
        <w:rPr>
          <w:rFonts w:ascii="宋体" w:hAnsi="宋体" w:eastAsia="宋体"/>
          <w:color w:val="0000FF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三</w:t>
      </w:r>
      <w:r>
        <w:rPr>
          <w:rFonts w:ascii="宋体" w:hAnsi="宋体" w:eastAsia="宋体"/>
          <w:sz w:val="30"/>
          <w:szCs w:val="30"/>
        </w:rPr>
        <w:t>、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装车过程中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产生的所有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费用由接收单位负责。</w:t>
      </w:r>
    </w:p>
    <w:p>
      <w:pPr>
        <w:pStyle w:val="181"/>
        <w:keepNext w:val="0"/>
        <w:keepLines w:val="0"/>
        <w:pageBreakBefore w:val="0"/>
        <w:widowControl w:val="0"/>
        <w:spacing w:line="480" w:lineRule="exact"/>
        <w:ind w:firstLine="600"/>
        <w:outlineLvl w:val="9"/>
        <w:rPr>
          <w:rFonts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四</w:t>
      </w:r>
      <w:r>
        <w:rPr>
          <w:rFonts w:ascii="宋体" w:hAnsi="宋体" w:eastAsia="宋体"/>
          <w:sz w:val="30"/>
          <w:szCs w:val="30"/>
          <w:lang w:val="en-US" w:eastAsia="zh-CN"/>
        </w:rPr>
        <w:t>、</w:t>
      </w:r>
      <w:r>
        <w:rPr>
          <w:rFonts w:ascii="宋体" w:hAnsi="宋体" w:eastAsia="宋体"/>
          <w:sz w:val="28"/>
          <w:szCs w:val="28"/>
          <w:lang w:val="en-US" w:eastAsia="zh-CN"/>
        </w:rPr>
        <w:t>要求：接收单位提供营业执照、危险废物经营许可证；根据危险废物经营许可证核准的危险废物种类进行报价。</w:t>
      </w:r>
    </w:p>
    <w:p>
      <w:pPr>
        <w:pStyle w:val="181"/>
        <w:keepNext w:val="0"/>
        <w:keepLines w:val="0"/>
        <w:pageBreakBefore w:val="0"/>
        <w:widowControl w:val="0"/>
        <w:spacing w:line="480" w:lineRule="exact"/>
        <w:ind w:firstLine="602" w:firstLineChars="200"/>
        <w:jc w:val="left"/>
        <w:outlineLvl w:val="9"/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ascii="宋体" w:hAnsi="宋体" w:eastAsia="宋体"/>
          <w:sz w:val="30"/>
          <w:szCs w:val="30"/>
          <w:lang w:eastAsia="zh-CN"/>
        </w:rPr>
        <w:t>、</w:t>
      </w:r>
      <w:r>
        <w:rPr>
          <w:rFonts w:ascii="宋体" w:hAnsi="宋体" w:eastAsia="宋体"/>
          <w:b/>
          <w:bCs/>
          <w:sz w:val="30"/>
          <w:szCs w:val="30"/>
          <w:lang w:eastAsia="zh-CN"/>
        </w:rPr>
        <w:t>投标邮箱</w:t>
      </w:r>
      <w:r>
        <w:rPr>
          <w:rFonts w:ascii="宋体" w:hAnsi="宋体" w:eastAsia="宋体"/>
          <w:sz w:val="30"/>
          <w:szCs w:val="30"/>
          <w:lang w:eastAsia="zh-CN"/>
        </w:rPr>
        <w:t>：</w:t>
      </w:r>
      <w:r>
        <w:rPr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fldChar w:fldCharType="begin"/>
      </w:r>
      <w:r>
        <w:rPr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fldChar w:fldCharType="separate"/>
      </w:r>
      <w:r>
        <w:rPr>
          <w:rStyle w:val="189"/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t>j</w:t>
      </w:r>
      <w:r>
        <w:rPr>
          <w:rStyle w:val="189"/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>inbaocg@chinajinbao.com</w:t>
      </w:r>
      <w:r>
        <w:rPr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fldChar w:fldCharType="end"/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 xml:space="preserve"> 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fldChar w:fldCharType="begin"/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fldChar w:fldCharType="separate"/>
      </w:r>
      <w:r>
        <w:rPr>
          <w:rStyle w:val="189"/>
          <w:rFonts w:ascii="宋体" w:hAnsi="宋体" w:eastAsia="宋体"/>
          <w:b w:val="0"/>
          <w:bCs w:val="0"/>
          <w:color w:val="000000"/>
          <w:sz w:val="28"/>
          <w:szCs w:val="36"/>
          <w:u w:val="none"/>
          <w:lang w:val="en-US" w:eastAsia="zh-CN"/>
        </w:rPr>
        <w:t>同时抄送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 xml:space="preserve"> 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u w:val="single"/>
          <w:lang w:val="en-US" w:eastAsia="zh-CN"/>
        </w:rPr>
        <w:t>sdjbzb@163.com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 xml:space="preserve"> 和</w:t>
      </w:r>
      <w:r>
        <w:rPr>
          <w:rStyle w:val="189"/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>lwenling@chinajinbao.com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fldChar w:fldCharType="end"/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pStyle w:val="181"/>
        <w:keepNext w:val="0"/>
        <w:keepLines w:val="0"/>
        <w:pageBreakBefore w:val="0"/>
        <w:widowControl w:val="0"/>
        <w:spacing w:line="480" w:lineRule="exact"/>
        <w:ind w:firstLine="562" w:firstLineChars="200"/>
        <w:jc w:val="left"/>
        <w:outlineLvl w:val="9"/>
        <w:rPr>
          <w:rFonts w:hint="default"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六</w:t>
      </w:r>
      <w:r>
        <w:rPr>
          <w:rFonts w:hint="eastAsia" w:ascii="宋体" w:hAnsi="宋体"/>
          <w:b w:val="0"/>
          <w:bCs w:val="0"/>
          <w:color w:val="000000"/>
          <w:sz w:val="28"/>
          <w:szCs w:val="36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危废处置日期：截止到2024年12月31日</w:t>
      </w:r>
    </w:p>
    <w:p>
      <w:pPr>
        <w:pStyle w:val="181"/>
        <w:keepNext w:val="0"/>
        <w:keepLines w:val="0"/>
        <w:pageBreakBefore w:val="0"/>
        <w:widowControl w:val="0"/>
        <w:spacing w:line="480" w:lineRule="exact"/>
        <w:ind w:firstLine="562" w:firstLineChars="200"/>
        <w:outlineLvl w:val="9"/>
        <w:rPr>
          <w:rFonts w:hint="default" w:ascii="宋体" w:hAnsi="宋体" w:eastAsia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七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、投标</w:t>
      </w: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截止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时间：</w:t>
      </w:r>
      <w:r>
        <w:rPr>
          <w:rFonts w:hint="eastAsia" w:ascii="宋体" w:hAnsi="宋体"/>
          <w:b/>
          <w:bCs/>
          <w:color w:val="auto"/>
          <w:sz w:val="28"/>
          <w:szCs w:val="36"/>
          <w:lang w:val="en-US" w:eastAsia="zh-CN"/>
        </w:rPr>
        <w:t>2023年11月5日 16:00</w:t>
      </w:r>
    </w:p>
    <w:p>
      <w:pPr>
        <w:pStyle w:val="181"/>
        <w:keepNext w:val="0"/>
        <w:keepLines w:val="0"/>
        <w:pageBreakBefore w:val="0"/>
        <w:widowControl w:val="0"/>
        <w:spacing w:line="480" w:lineRule="exact"/>
        <w:ind w:firstLine="562" w:firstLineChars="200"/>
        <w:outlineLvl w:val="9"/>
        <w:rPr>
          <w:rFonts w:hint="default" w:ascii="宋体" w:hAnsi="宋体" w:eastAsia="宋体"/>
          <w:b w:val="0"/>
          <w:bCs w:val="0"/>
          <w:color w:val="FF0000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八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、投标联系人：</w:t>
      </w: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秦忠菊 0535-2701502</w:t>
      </w:r>
    </w:p>
    <w:p>
      <w:pPr>
        <w:pStyle w:val="181"/>
        <w:keepNext w:val="0"/>
        <w:keepLines w:val="0"/>
        <w:pageBreakBefore w:val="0"/>
        <w:widowControl w:val="0"/>
        <w:spacing w:line="480" w:lineRule="exact"/>
        <w:ind w:firstLine="562" w:firstLineChars="200"/>
        <w:outlineLvl w:val="9"/>
        <w:rPr>
          <w:rFonts w:ascii="宋体" w:hAnsi="宋体" w:eastAsia="宋体"/>
          <w:b/>
          <w:bCs/>
          <w:color w:val="000000" w:themeColor="text1"/>
          <w:sz w:val="28"/>
          <w:szCs w:val="36"/>
        </w:rPr>
      </w:pP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九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、现场</w:t>
      </w: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联系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人：</w:t>
      </w:r>
      <w:r>
        <w:rPr>
          <w:rFonts w:ascii="宋体" w:hAnsi="宋体" w:eastAsia="宋体"/>
          <w:b/>
          <w:bCs/>
          <w:color w:val="000000" w:themeColor="text1"/>
          <w:sz w:val="28"/>
          <w:szCs w:val="36"/>
          <w:lang w:val="en-US" w:eastAsia="zh-CN"/>
        </w:rPr>
        <w:t xml:space="preserve">马世举  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:lang w:val="en-US" w:eastAsia="zh-CN"/>
        </w:rPr>
        <w:t>13853579663</w:t>
      </w:r>
    </w:p>
    <w:p>
      <w:pPr>
        <w:pStyle w:val="181"/>
        <w:keepNext w:val="0"/>
        <w:keepLines w:val="0"/>
        <w:pageBreakBefore w:val="0"/>
        <w:widowControl w:val="0"/>
        <w:spacing w:line="540" w:lineRule="exact"/>
        <w:outlineLvl w:val="9"/>
        <w:rPr>
          <w:rFonts w:ascii="黑体" w:eastAsia="黑体"/>
          <w:sz w:val="30"/>
          <w:szCs w:val="30"/>
          <w:lang w:val="en-US" w:eastAsia="zh-CN"/>
        </w:rPr>
      </w:pPr>
    </w:p>
    <w:p>
      <w:pPr>
        <w:pStyle w:val="181"/>
        <w:keepNext w:val="0"/>
        <w:keepLines w:val="0"/>
        <w:pageBreakBefore w:val="0"/>
        <w:widowControl w:val="0"/>
        <w:spacing w:line="540" w:lineRule="exact"/>
        <w:ind w:firstLine="4500" w:firstLineChars="1500"/>
        <w:outlineLvl w:val="9"/>
        <w:rPr>
          <w:rFonts w:asci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ascii="黑体" w:eastAsia="黑体"/>
          <w:sz w:val="30"/>
          <w:szCs w:val="30"/>
          <w:lang w:val="en-US" w:eastAsia="zh-CN"/>
        </w:rPr>
        <w:t>山东金宝电子有限公司</w:t>
      </w:r>
    </w:p>
    <w:p>
      <w:pPr>
        <w:pStyle w:val="181"/>
        <w:keepNext w:val="0"/>
        <w:keepLines w:val="0"/>
        <w:pageBreakBefore w:val="0"/>
        <w:widowControl w:val="0"/>
        <w:spacing w:line="540" w:lineRule="exact"/>
        <w:ind w:firstLine="4200"/>
        <w:outlineLvl w:val="9"/>
        <w:rPr>
          <w:rFonts w:ascii="黑体" w:eastAsia="黑体"/>
          <w:sz w:val="30"/>
          <w:szCs w:val="30"/>
          <w:lang w:val="en-US" w:eastAsia="zh-CN"/>
        </w:rPr>
      </w:pPr>
      <w:r>
        <w:rPr>
          <w:rFonts w:ascii="黑体" w:eastAsia="黑体"/>
          <w:sz w:val="30"/>
          <w:szCs w:val="30"/>
          <w:lang w:val="en-US" w:eastAsia="zh-CN"/>
        </w:rPr>
        <w:t>山东金都电子材料有限公司</w:t>
      </w:r>
    </w:p>
    <w:p>
      <w:pPr>
        <w:pStyle w:val="181"/>
        <w:keepNext w:val="0"/>
        <w:keepLines w:val="0"/>
        <w:pageBreakBefore w:val="0"/>
        <w:widowControl w:val="0"/>
        <w:spacing w:line="540" w:lineRule="exact"/>
        <w:ind w:firstLine="600"/>
        <w:outlineLvl w:val="9"/>
        <w:rPr>
          <w:rFonts w:hint="default" w:ascii="黑体" w:eastAsia="黑体"/>
          <w:color w:val="FF0000"/>
          <w:sz w:val="30"/>
          <w:szCs w:val="30"/>
          <w:lang w:val="en-US" w:eastAsia="zh-CN"/>
        </w:rPr>
      </w:pPr>
      <w:r>
        <w:rPr>
          <w:rFonts w:ascii="黑体" w:eastAsia="黑体"/>
          <w:sz w:val="30"/>
          <w:szCs w:val="30"/>
          <w:lang w:val="en-US" w:eastAsia="zh-CN"/>
        </w:rPr>
        <w:t xml:space="preserve">                               202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ascii="黑体" w:eastAsia="黑体"/>
          <w:sz w:val="30"/>
          <w:szCs w:val="30"/>
          <w:lang w:val="en-US" w:eastAsia="zh-CN"/>
        </w:rPr>
        <w:t>.</w:t>
      </w:r>
      <w:r>
        <w:rPr>
          <w:rFonts w:hint="eastAsia" w:ascii="黑体" w:eastAsia="黑体"/>
          <w:sz w:val="30"/>
          <w:szCs w:val="30"/>
          <w:lang w:val="en-US" w:eastAsia="zh-CN"/>
        </w:rPr>
        <w:t>10.31</w:t>
      </w:r>
    </w:p>
    <w:sectPr>
      <w:pgSz w:w="11906" w:h="16838"/>
      <w:pgMar w:top="1417" w:right="1701" w:bottom="1417" w:left="1701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DQ5NjQ5ZjkzNzY3YzYzMmIxNWNiZDFkZTY2YTYifQ=="/>
  </w:docVars>
  <w:rsids>
    <w:rsidRoot w:val="00000000"/>
    <w:rsid w:val="0136557F"/>
    <w:rsid w:val="01822573"/>
    <w:rsid w:val="021E056F"/>
    <w:rsid w:val="0284231A"/>
    <w:rsid w:val="033C49A3"/>
    <w:rsid w:val="048D5E0F"/>
    <w:rsid w:val="04FD5CC1"/>
    <w:rsid w:val="04FF212C"/>
    <w:rsid w:val="05151950"/>
    <w:rsid w:val="05AD600A"/>
    <w:rsid w:val="06A44F70"/>
    <w:rsid w:val="07367AF8"/>
    <w:rsid w:val="074F1149"/>
    <w:rsid w:val="0846765B"/>
    <w:rsid w:val="08AD0B77"/>
    <w:rsid w:val="08D84630"/>
    <w:rsid w:val="09050131"/>
    <w:rsid w:val="094A47A9"/>
    <w:rsid w:val="099A2423"/>
    <w:rsid w:val="0AA73501"/>
    <w:rsid w:val="0B2C194F"/>
    <w:rsid w:val="0BA84201"/>
    <w:rsid w:val="0C234265"/>
    <w:rsid w:val="0D2F0B75"/>
    <w:rsid w:val="0D7116ED"/>
    <w:rsid w:val="0E6F20D1"/>
    <w:rsid w:val="0EB43F87"/>
    <w:rsid w:val="0ED2128A"/>
    <w:rsid w:val="0EFA6E5A"/>
    <w:rsid w:val="10352221"/>
    <w:rsid w:val="106043C7"/>
    <w:rsid w:val="107E2A9F"/>
    <w:rsid w:val="11FE4ADE"/>
    <w:rsid w:val="12216DAE"/>
    <w:rsid w:val="12267177"/>
    <w:rsid w:val="12753A2E"/>
    <w:rsid w:val="127F72DD"/>
    <w:rsid w:val="139D4FEA"/>
    <w:rsid w:val="14A31D5E"/>
    <w:rsid w:val="14F9026D"/>
    <w:rsid w:val="154871D8"/>
    <w:rsid w:val="15575392"/>
    <w:rsid w:val="15655021"/>
    <w:rsid w:val="17461B58"/>
    <w:rsid w:val="17690024"/>
    <w:rsid w:val="179130B8"/>
    <w:rsid w:val="18303606"/>
    <w:rsid w:val="18553484"/>
    <w:rsid w:val="18A31822"/>
    <w:rsid w:val="1BF223E1"/>
    <w:rsid w:val="1CFA6CD7"/>
    <w:rsid w:val="1D42008C"/>
    <w:rsid w:val="1D7C3EC2"/>
    <w:rsid w:val="1D9A47BD"/>
    <w:rsid w:val="1DE75D86"/>
    <w:rsid w:val="1E0A3BC4"/>
    <w:rsid w:val="1E982F7E"/>
    <w:rsid w:val="1EA77665"/>
    <w:rsid w:val="1ED833F1"/>
    <w:rsid w:val="1FCC2F8A"/>
    <w:rsid w:val="1FD24E70"/>
    <w:rsid w:val="217C3247"/>
    <w:rsid w:val="21B06168"/>
    <w:rsid w:val="2330272A"/>
    <w:rsid w:val="23A964AB"/>
    <w:rsid w:val="287E6326"/>
    <w:rsid w:val="2AB4113F"/>
    <w:rsid w:val="2B22083D"/>
    <w:rsid w:val="2C3342E6"/>
    <w:rsid w:val="2C960362"/>
    <w:rsid w:val="2CEB0C34"/>
    <w:rsid w:val="2D0F6B01"/>
    <w:rsid w:val="2DDD275B"/>
    <w:rsid w:val="2E5977D4"/>
    <w:rsid w:val="2FBB4D1E"/>
    <w:rsid w:val="303F1325"/>
    <w:rsid w:val="30A65BBD"/>
    <w:rsid w:val="32D23C60"/>
    <w:rsid w:val="339B5C84"/>
    <w:rsid w:val="33FF032A"/>
    <w:rsid w:val="34142C4F"/>
    <w:rsid w:val="34A35D81"/>
    <w:rsid w:val="34CA155F"/>
    <w:rsid w:val="357065AB"/>
    <w:rsid w:val="35847960"/>
    <w:rsid w:val="359B1906"/>
    <w:rsid w:val="36B96138"/>
    <w:rsid w:val="373F6235"/>
    <w:rsid w:val="3755037D"/>
    <w:rsid w:val="379017D2"/>
    <w:rsid w:val="380C3C8E"/>
    <w:rsid w:val="38A87E0A"/>
    <w:rsid w:val="3A3A2CE3"/>
    <w:rsid w:val="3A5D6272"/>
    <w:rsid w:val="3AEF2E86"/>
    <w:rsid w:val="3C533CDA"/>
    <w:rsid w:val="3D9441B7"/>
    <w:rsid w:val="3D9F7A2D"/>
    <w:rsid w:val="3EAE5A4E"/>
    <w:rsid w:val="3F4E06B6"/>
    <w:rsid w:val="3F650AC5"/>
    <w:rsid w:val="3F71548E"/>
    <w:rsid w:val="3FED758E"/>
    <w:rsid w:val="40D5457B"/>
    <w:rsid w:val="40ED0AAF"/>
    <w:rsid w:val="41322D2B"/>
    <w:rsid w:val="43160791"/>
    <w:rsid w:val="44240A36"/>
    <w:rsid w:val="45592BB7"/>
    <w:rsid w:val="4BE01CBF"/>
    <w:rsid w:val="4CB65211"/>
    <w:rsid w:val="4E147710"/>
    <w:rsid w:val="4EBD4EA8"/>
    <w:rsid w:val="4F104F47"/>
    <w:rsid w:val="518A7817"/>
    <w:rsid w:val="51DE0E66"/>
    <w:rsid w:val="521B438E"/>
    <w:rsid w:val="52495D62"/>
    <w:rsid w:val="53387573"/>
    <w:rsid w:val="534A3B3F"/>
    <w:rsid w:val="53966D85"/>
    <w:rsid w:val="548062A4"/>
    <w:rsid w:val="5480697A"/>
    <w:rsid w:val="54E57ADC"/>
    <w:rsid w:val="56682C5A"/>
    <w:rsid w:val="56942428"/>
    <w:rsid w:val="56E55706"/>
    <w:rsid w:val="57325016"/>
    <w:rsid w:val="5887032B"/>
    <w:rsid w:val="58E673D9"/>
    <w:rsid w:val="593B4004"/>
    <w:rsid w:val="595C5ED8"/>
    <w:rsid w:val="5CAE2661"/>
    <w:rsid w:val="5D4B34DB"/>
    <w:rsid w:val="5E225DE5"/>
    <w:rsid w:val="5FEC1CFE"/>
    <w:rsid w:val="6287456A"/>
    <w:rsid w:val="62D35345"/>
    <w:rsid w:val="631626F8"/>
    <w:rsid w:val="64344556"/>
    <w:rsid w:val="64BE2D8D"/>
    <w:rsid w:val="67053426"/>
    <w:rsid w:val="689478DF"/>
    <w:rsid w:val="68CE549F"/>
    <w:rsid w:val="691240E0"/>
    <w:rsid w:val="69690D6B"/>
    <w:rsid w:val="69F80D0F"/>
    <w:rsid w:val="6C33502D"/>
    <w:rsid w:val="6D0A6AB5"/>
    <w:rsid w:val="6D170ADE"/>
    <w:rsid w:val="6EAD34A8"/>
    <w:rsid w:val="702A0066"/>
    <w:rsid w:val="70D0347E"/>
    <w:rsid w:val="71245578"/>
    <w:rsid w:val="713F0604"/>
    <w:rsid w:val="71BD3894"/>
    <w:rsid w:val="74512B28"/>
    <w:rsid w:val="76DC0816"/>
    <w:rsid w:val="779353D8"/>
    <w:rsid w:val="77976AA4"/>
    <w:rsid w:val="784B6A5E"/>
    <w:rsid w:val="786170B2"/>
    <w:rsid w:val="78736567"/>
    <w:rsid w:val="7D0821F2"/>
    <w:rsid w:val="7E152F54"/>
    <w:rsid w:val="7E81541F"/>
    <w:rsid w:val="7EB34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next w:val="1"/>
    <w:link w:val="3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next w:val="1"/>
    <w:link w:val="3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next w:val="1"/>
    <w:link w:val="3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next w:val="1"/>
    <w:link w:val="3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next w:val="1"/>
    <w:link w:val="3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next w:val="1"/>
    <w:link w:val="3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next w:val="1"/>
    <w:link w:val="3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next w:val="1"/>
    <w:link w:val="4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spacing w:after="57"/>
      <w:ind w:left="1701" w:right="0" w:firstLine="0"/>
    </w:pPr>
    <w:rPr>
      <w:rFonts w:ascii="Times New Roman" w:hAnsi="Times New Roman" w:eastAsia="宋体" w:cs="Times New Roman"/>
    </w:rPr>
  </w:style>
  <w:style w:type="paragraph" w:styleId="12">
    <w:name w:val="caption"/>
    <w:next w:val="1"/>
    <w:semiHidden/>
    <w:unhideWhenUsed/>
    <w:qFormat/>
    <w:uiPriority w:val="35"/>
    <w:pPr>
      <w:spacing w:line="276" w:lineRule="auto"/>
    </w:pPr>
    <w:rPr>
      <w:rFonts w:ascii="Times New Roman" w:hAnsi="Times New Roman" w:eastAsia="宋体" w:cs="Times New Roman"/>
      <w:b/>
      <w:bCs/>
      <w:color w:val="4F81BD" w:themeColor="accent1"/>
      <w:sz w:val="18"/>
      <w:szCs w:val="18"/>
    </w:rPr>
  </w:style>
  <w:style w:type="paragraph" w:styleId="13">
    <w:name w:val="toc 5"/>
    <w:next w:val="1"/>
    <w:unhideWhenUsed/>
    <w:qFormat/>
    <w:uiPriority w:val="39"/>
    <w:pPr>
      <w:spacing w:after="57"/>
      <w:ind w:left="1134" w:right="0" w:firstLine="0"/>
    </w:pPr>
    <w:rPr>
      <w:rFonts w:ascii="Times New Roman" w:hAnsi="Times New Roman" w:eastAsia="宋体" w:cs="Times New Roman"/>
    </w:rPr>
  </w:style>
  <w:style w:type="paragraph" w:styleId="14">
    <w:name w:val="toc 3"/>
    <w:next w:val="1"/>
    <w:unhideWhenUsed/>
    <w:qFormat/>
    <w:uiPriority w:val="39"/>
    <w:pPr>
      <w:spacing w:after="57"/>
      <w:ind w:left="567" w:right="0" w:firstLine="0"/>
    </w:pPr>
    <w:rPr>
      <w:rFonts w:ascii="Times New Roman" w:hAnsi="Times New Roman" w:eastAsia="宋体" w:cs="Times New Roman"/>
    </w:rPr>
  </w:style>
  <w:style w:type="paragraph" w:styleId="15">
    <w:name w:val="toc 8"/>
    <w:next w:val="1"/>
    <w:unhideWhenUsed/>
    <w:qFormat/>
    <w:uiPriority w:val="39"/>
    <w:pPr>
      <w:spacing w:after="57"/>
      <w:ind w:left="1984" w:right="0" w:firstLine="0"/>
    </w:pPr>
    <w:rPr>
      <w:rFonts w:ascii="Times New Roman" w:hAnsi="Times New Roman" w:eastAsia="宋体" w:cs="Times New Roman"/>
    </w:rPr>
  </w:style>
  <w:style w:type="paragraph" w:styleId="16">
    <w:name w:val="endnote text"/>
    <w:link w:val="17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</w:rPr>
  </w:style>
  <w:style w:type="paragraph" w:styleId="17">
    <w:name w:val="footer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8">
    <w:name w:val="header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9">
    <w:name w:val="toc 1"/>
    <w:next w:val="1"/>
    <w:unhideWhenUsed/>
    <w:qFormat/>
    <w:uiPriority w:val="39"/>
    <w:pPr>
      <w:spacing w:after="57"/>
      <w:ind w:left="0" w:right="0" w:firstLine="0"/>
    </w:pPr>
    <w:rPr>
      <w:rFonts w:ascii="Times New Roman" w:hAnsi="Times New Roman" w:eastAsia="宋体" w:cs="Times New Roman"/>
    </w:rPr>
  </w:style>
  <w:style w:type="paragraph" w:styleId="20">
    <w:name w:val="toc 4"/>
    <w:next w:val="1"/>
    <w:unhideWhenUsed/>
    <w:qFormat/>
    <w:uiPriority w:val="39"/>
    <w:pPr>
      <w:spacing w:after="57"/>
      <w:ind w:left="850" w:right="0" w:firstLine="0"/>
    </w:pPr>
    <w:rPr>
      <w:rFonts w:ascii="Times New Roman" w:hAnsi="Times New Roman" w:eastAsia="宋体" w:cs="Times New Roman"/>
    </w:rPr>
  </w:style>
  <w:style w:type="paragraph" w:styleId="21">
    <w:name w:val="Subtitle"/>
    <w:link w:val="45"/>
    <w:qFormat/>
    <w:uiPriority w:val="11"/>
    <w:pPr>
      <w:spacing w:before="200" w:after="200"/>
    </w:pPr>
    <w:rPr>
      <w:rFonts w:ascii="Times New Roman" w:hAnsi="Times New Roman" w:eastAsia="宋体" w:cs="Times New Roman"/>
      <w:sz w:val="24"/>
      <w:szCs w:val="24"/>
    </w:rPr>
  </w:style>
  <w:style w:type="paragraph" w:styleId="22">
    <w:name w:val="footnote text"/>
    <w:link w:val="178"/>
    <w:semiHidden/>
    <w:unhideWhenUsed/>
    <w:qFormat/>
    <w:uiPriority w:val="99"/>
    <w:pPr>
      <w:spacing w:after="40" w:line="240" w:lineRule="auto"/>
    </w:pPr>
    <w:rPr>
      <w:rFonts w:ascii="Times New Roman" w:hAnsi="Times New Roman" w:eastAsia="宋体" w:cs="Times New Roman"/>
      <w:sz w:val="18"/>
    </w:rPr>
  </w:style>
  <w:style w:type="paragraph" w:styleId="23">
    <w:name w:val="toc 6"/>
    <w:next w:val="1"/>
    <w:unhideWhenUsed/>
    <w:qFormat/>
    <w:uiPriority w:val="39"/>
    <w:pPr>
      <w:spacing w:after="57"/>
      <w:ind w:left="1417" w:right="0" w:firstLine="0"/>
    </w:pPr>
    <w:rPr>
      <w:rFonts w:ascii="Times New Roman" w:hAnsi="Times New Roman" w:eastAsia="宋体" w:cs="Times New Roman"/>
    </w:rPr>
  </w:style>
  <w:style w:type="paragraph" w:styleId="24">
    <w:name w:val="toc 2"/>
    <w:next w:val="1"/>
    <w:unhideWhenUsed/>
    <w:qFormat/>
    <w:uiPriority w:val="39"/>
    <w:pPr>
      <w:spacing w:after="57"/>
      <w:ind w:left="283" w:right="0" w:firstLine="0"/>
    </w:pPr>
    <w:rPr>
      <w:rFonts w:ascii="Times New Roman" w:hAnsi="Times New Roman" w:eastAsia="宋体" w:cs="Times New Roman"/>
    </w:rPr>
  </w:style>
  <w:style w:type="paragraph" w:styleId="25">
    <w:name w:val="toc 9"/>
    <w:next w:val="1"/>
    <w:unhideWhenUsed/>
    <w:qFormat/>
    <w:uiPriority w:val="39"/>
    <w:pPr>
      <w:spacing w:after="57"/>
      <w:ind w:left="2268" w:right="0" w:firstLine="0"/>
    </w:pPr>
    <w:rPr>
      <w:rFonts w:ascii="Times New Roman" w:hAnsi="Times New Roman" w:eastAsia="宋体" w:cs="Times New Roman"/>
    </w:rPr>
  </w:style>
  <w:style w:type="paragraph" w:styleId="26">
    <w:name w:val="Title"/>
    <w:link w:val="44"/>
    <w:qFormat/>
    <w:uiPriority w:val="10"/>
    <w:pPr>
      <w:spacing w:before="300" w:after="200"/>
      <w:contextualSpacing/>
    </w:pPr>
    <w:rPr>
      <w:rFonts w:ascii="Times New Roman" w:hAnsi="Times New Roman" w:eastAsia="宋体" w:cs="Times New Roman"/>
      <w:sz w:val="48"/>
      <w:szCs w:val="48"/>
    </w:rPr>
  </w:style>
  <w:style w:type="character" w:styleId="28">
    <w:name w:val="endnote reference"/>
    <w:semiHidden/>
    <w:unhideWhenUsed/>
    <w:qFormat/>
    <w:uiPriority w:val="99"/>
    <w:rPr>
      <w:vertAlign w:val="superscript"/>
    </w:rPr>
  </w:style>
  <w:style w:type="character" w:styleId="29">
    <w:name w:val="Hyperlink"/>
    <w:unhideWhenUsed/>
    <w:qFormat/>
    <w:uiPriority w:val="99"/>
    <w:rPr>
      <w:color w:val="0000FF" w:themeColor="hyperlink"/>
      <w:u w:val="single"/>
    </w:rPr>
  </w:style>
  <w:style w:type="character" w:styleId="30">
    <w:name w:val="footnote reference"/>
    <w:unhideWhenUsed/>
    <w:qFormat/>
    <w:uiPriority w:val="99"/>
    <w:rPr>
      <w:vertAlign w:val="superscript"/>
    </w:rPr>
  </w:style>
  <w:style w:type="table" w:styleId="32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4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5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6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7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8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  <w:style w:type="paragraph" w:styleId="43">
    <w:name w:val="No Spacing"/>
    <w:qFormat/>
    <w:uiPriority w:val="1"/>
    <w:pPr>
      <w:spacing w:before="0" w:after="0" w:line="240" w:lineRule="auto"/>
    </w:pPr>
    <w:rPr>
      <w:rFonts w:ascii="Times New Roman" w:hAnsi="Times New Roman" w:eastAsia="宋体" w:cs="Times New Roman"/>
    </w:rPr>
  </w:style>
  <w:style w:type="character" w:customStyle="1" w:styleId="44">
    <w:name w:val="Title Char"/>
    <w:link w:val="26"/>
    <w:qFormat/>
    <w:uiPriority w:val="10"/>
    <w:rPr>
      <w:sz w:val="48"/>
      <w:szCs w:val="48"/>
    </w:rPr>
  </w:style>
  <w:style w:type="character" w:customStyle="1" w:styleId="45">
    <w:name w:val="Subtitle Char"/>
    <w:link w:val="21"/>
    <w:qFormat/>
    <w:uiPriority w:val="11"/>
    <w:rPr>
      <w:sz w:val="24"/>
      <w:szCs w:val="24"/>
    </w:rPr>
  </w:style>
  <w:style w:type="paragraph" w:styleId="46">
    <w:name w:val="Quote"/>
    <w:link w:val="47"/>
    <w:qFormat/>
    <w:uiPriority w:val="29"/>
    <w:pPr>
      <w:ind w:left="720" w:right="720"/>
    </w:pPr>
    <w:rPr>
      <w:rFonts w:ascii="Times New Roman" w:hAnsi="Times New Roman" w:eastAsia="宋体" w:cs="Times New Roman"/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rFonts w:ascii="Times New Roman" w:hAnsi="Times New Roman" w:eastAsia="宋体" w:cs="Times New Roman"/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link w:val="18"/>
    <w:qFormat/>
    <w:uiPriority w:val="99"/>
  </w:style>
  <w:style w:type="character" w:customStyle="1" w:styleId="51">
    <w:name w:val="Footer Char"/>
    <w:link w:val="17"/>
    <w:qFormat/>
    <w:uiPriority w:val="99"/>
  </w:style>
  <w:style w:type="character" w:customStyle="1" w:styleId="52">
    <w:name w:val="Caption Char"/>
    <w:link w:val="17"/>
    <w:qFormat/>
    <w:uiPriority w:val="99"/>
  </w:style>
  <w:style w:type="table" w:customStyle="1" w:styleId="53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5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7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7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8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69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0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1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2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3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4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5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6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7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8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9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0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1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2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3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4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5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6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7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8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89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0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1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2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3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4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5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6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7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8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9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3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4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5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6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7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8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09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0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1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2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3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4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5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6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7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8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19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0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1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2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0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1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2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3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4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5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6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7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38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39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0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1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2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3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4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5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6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7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8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9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0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1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2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3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4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5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6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7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8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59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0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1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2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3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4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5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6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7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8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9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0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1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Footnote Text Char"/>
    <w:link w:val="22"/>
    <w:qFormat/>
    <w:uiPriority w:val="99"/>
    <w:rPr>
      <w:sz w:val="18"/>
    </w:rPr>
  </w:style>
  <w:style w:type="character" w:customStyle="1" w:styleId="179">
    <w:name w:val="Endnote Text Char"/>
    <w:link w:val="16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rPr>
      <w:rFonts w:ascii="Times New Roman" w:hAnsi="Times New Roman" w:eastAsia="宋体" w:cs="Times New Roman"/>
    </w:rPr>
  </w:style>
  <w:style w:type="paragraph" w:customStyle="1" w:styleId="181">
    <w:name w:val="正文1"/>
    <w:link w:val="19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82">
    <w:name w:val="默认段落字体1"/>
    <w:link w:val="181"/>
    <w:semiHidden/>
    <w:qFormat/>
    <w:uiPriority w:val="0"/>
  </w:style>
  <w:style w:type="table" w:customStyle="1" w:styleId="183">
    <w:name w:val="普通表格1"/>
    <w:semiHidden/>
    <w:qFormat/>
    <w:uiPriority w:val="0"/>
  </w:style>
  <w:style w:type="paragraph" w:customStyle="1" w:styleId="184">
    <w:name w:val="正文文本1"/>
    <w:basedOn w:val="181"/>
    <w:qFormat/>
    <w:uiPriority w:val="0"/>
    <w:pPr>
      <w:spacing w:after="120"/>
    </w:pPr>
  </w:style>
  <w:style w:type="paragraph" w:customStyle="1" w:styleId="185">
    <w:name w:val="批注框文本1"/>
    <w:basedOn w:val="181"/>
    <w:semiHidden/>
    <w:qFormat/>
    <w:uiPriority w:val="0"/>
    <w:rPr>
      <w:sz w:val="18"/>
      <w:szCs w:val="18"/>
    </w:rPr>
  </w:style>
  <w:style w:type="paragraph" w:customStyle="1" w:styleId="186">
    <w:name w:val="页脚1"/>
    <w:basedOn w:val="18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7">
    <w:name w:val="页眉1"/>
    <w:basedOn w:val="18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188">
    <w:name w:val="网格型1"/>
    <w:basedOn w:val="183"/>
    <w:qFormat/>
    <w:uiPriority w:val="0"/>
  </w:style>
  <w:style w:type="character" w:customStyle="1" w:styleId="189">
    <w:name w:val="超链接1"/>
    <w:basedOn w:val="182"/>
    <w:link w:val="181"/>
    <w:qFormat/>
    <w:uiPriority w:val="0"/>
    <w:rPr>
      <w:color w:val="0000FF"/>
      <w:u w:val="single"/>
    </w:rPr>
  </w:style>
  <w:style w:type="character" w:customStyle="1" w:styleId="190">
    <w:name w:val="apple-converted-space"/>
    <w:basedOn w:val="182"/>
    <w:link w:val="181"/>
    <w:qFormat/>
    <w:uiPriority w:val="0"/>
  </w:style>
  <w:style w:type="paragraph" w:customStyle="1" w:styleId="191">
    <w:name w:val="列出段落"/>
    <w:basedOn w:val="18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827</Words>
  <Characters>1187</Characters>
  <TotalTime>10</TotalTime>
  <ScaleCrop>false</ScaleCrop>
  <LinksUpToDate>false</LinksUpToDate>
  <CharactersWithSpaces>1463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2023-01-03T01:10:00Z</dcterms:created>
  <dc:creator>Administrator</dc:creator>
  <cp:lastModifiedBy>Administrator</cp:lastModifiedBy>
  <cp:lastPrinted>2023-10-05T07:14:00Z</cp:lastPrinted>
  <dcterms:modified xsi:type="dcterms:W3CDTF">2023-10-31T08:18:16Z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C1D777B077F441999A355114FEE73AA0</vt:lpwstr>
  </property>
</Properties>
</file>