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28"/>
          <w:szCs w:val="28"/>
        </w:rPr>
      </w:pPr>
    </w:p>
    <w:p>
      <w:pPr>
        <w:spacing w:line="360" w:lineRule="auto"/>
        <w:ind w:left="-359" w:leftChars="-171"/>
        <w:jc w:val="center"/>
        <w:rPr>
          <w:rFonts w:ascii="黑体" w:eastAsia="黑体"/>
          <w:b/>
          <w:sz w:val="28"/>
          <w:szCs w:val="28"/>
        </w:rPr>
      </w:pPr>
      <w:r>
        <w:rPr>
          <w:rFonts w:hint="eastAsia" w:ascii="黑体" w:hAnsi="宋体" w:eastAsia="黑体"/>
          <w:b/>
          <w:sz w:val="28"/>
          <w:szCs w:val="28"/>
        </w:rPr>
        <w:t xml:space="preserve">   《</w:t>
      </w:r>
      <w:r>
        <w:rPr>
          <w:rFonts w:hint="eastAsia" w:ascii="黑体" w:hAnsi="宋体" w:eastAsia="黑体"/>
          <w:bCs/>
          <w:sz w:val="28"/>
          <w:szCs w:val="28"/>
        </w:rPr>
        <w:t>招标文</w:t>
      </w:r>
      <w:r>
        <w:rPr>
          <w:rFonts w:hint="eastAsia" w:ascii="宋体" w:hAnsi="宋体"/>
          <w:b/>
          <w:bCs/>
          <w:sz w:val="28"/>
          <w:szCs w:val="28"/>
        </w:rPr>
        <w:t>件</w:t>
      </w:r>
      <w:r>
        <w:rPr>
          <w:rFonts w:hint="eastAsia" w:ascii="黑体" w:hAnsi="宋体" w:eastAsia="黑体"/>
          <w:b/>
          <w:sz w:val="28"/>
          <w:szCs w:val="28"/>
        </w:rPr>
        <w:t>》</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r>
        <w:rPr>
          <w:rFonts w:hint="eastAsia"/>
          <w:spacing w:val="10"/>
          <w:sz w:val="28"/>
          <w:szCs w:val="28"/>
        </w:rPr>
        <w:t xml:space="preserve">                   </w:t>
      </w:r>
    </w:p>
    <w:p>
      <w:pPr>
        <w:pStyle w:val="4"/>
        <w:spacing w:line="480" w:lineRule="auto"/>
        <w:ind w:firstLine="1204" w:firstLineChars="400"/>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 xml:space="preserve">含铜液稳定铜离子回收铜系统采购 </w:t>
      </w:r>
      <w:r>
        <w:rPr>
          <w:rFonts w:hint="eastAsia" w:ascii="仿宋" w:hAnsi="仿宋" w:eastAsia="仿宋" w:cs="仿宋"/>
          <w:b/>
          <w:bCs/>
          <w:spacing w:val="10"/>
          <w:sz w:val="28"/>
          <w:szCs w:val="28"/>
        </w:rPr>
        <w:t xml:space="preserve">  </w:t>
      </w:r>
    </w:p>
    <w:p>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山东金宝电子有限公司</w:t>
      </w:r>
    </w:p>
    <w:p>
      <w:pPr>
        <w:spacing w:line="360" w:lineRule="auto"/>
        <w:ind w:firstLine="1200" w:firstLineChars="400"/>
        <w:jc w:val="left"/>
        <w:rPr>
          <w:rFonts w:ascii="仿宋" w:hAnsi="仿宋" w:eastAsia="仿宋" w:cs="仿宋"/>
          <w:spacing w:val="10"/>
          <w:sz w:val="24"/>
          <w:u w:val="single"/>
        </w:rPr>
      </w:pPr>
      <w:r>
        <w:rPr>
          <w:rFonts w:hint="eastAsia" w:ascii="仿宋" w:hAnsi="仿宋" w:eastAsia="仿宋" w:cs="仿宋"/>
          <w:spacing w:val="10"/>
          <w:sz w:val="28"/>
          <w:szCs w:val="28"/>
        </w:rPr>
        <w:t xml:space="preserve">         </w:t>
      </w:r>
    </w:p>
    <w:p>
      <w:pPr>
        <w:spacing w:line="360" w:lineRule="auto"/>
        <w:ind w:firstLine="2700" w:firstLineChars="900"/>
        <w:jc w:val="left"/>
        <w:rPr>
          <w:rFonts w:ascii="仿宋" w:hAnsi="仿宋" w:eastAsia="仿宋" w:cs="仿宋"/>
          <w:spacing w:val="10"/>
          <w:sz w:val="28"/>
          <w:szCs w:val="28"/>
        </w:rPr>
      </w:pPr>
    </w:p>
    <w:p>
      <w:pPr>
        <w:spacing w:line="360" w:lineRule="auto"/>
        <w:ind w:firstLine="2700" w:firstLineChars="900"/>
        <w:jc w:val="left"/>
        <w:rPr>
          <w:rFonts w:ascii="仿宋" w:hAnsi="仿宋" w:eastAsia="仿宋" w:cs="仿宋"/>
          <w:spacing w:val="10"/>
          <w:sz w:val="28"/>
          <w:szCs w:val="28"/>
        </w:rPr>
      </w:pPr>
    </w:p>
    <w:p>
      <w:pPr>
        <w:spacing w:line="360" w:lineRule="auto"/>
        <w:ind w:firstLine="6000" w:firstLineChars="2000"/>
        <w:jc w:val="left"/>
        <w:rPr>
          <w:rFonts w:ascii="仿宋" w:hAnsi="仿宋" w:eastAsia="仿宋" w:cs="仿宋"/>
          <w:spacing w:val="10"/>
          <w:sz w:val="28"/>
          <w:szCs w:val="28"/>
        </w:rPr>
      </w:pPr>
      <w:r>
        <w:rPr>
          <w:rFonts w:hint="eastAsia" w:ascii="仿宋" w:hAnsi="仿宋" w:eastAsia="仿宋" w:cs="仿宋"/>
          <w:spacing w:val="10"/>
          <w:sz w:val="28"/>
          <w:szCs w:val="28"/>
        </w:rPr>
        <w:t>2023年09月</w:t>
      </w:r>
      <w:r>
        <w:rPr>
          <w:rFonts w:hint="eastAsia" w:ascii="仿宋" w:hAnsi="仿宋" w:eastAsia="仿宋" w:cs="仿宋"/>
          <w:spacing w:val="10"/>
          <w:sz w:val="28"/>
          <w:szCs w:val="28"/>
          <w:lang w:val="en-US" w:eastAsia="zh-CN"/>
        </w:rPr>
        <w:t>12</w:t>
      </w:r>
      <w:r>
        <w:rPr>
          <w:rFonts w:hint="eastAsia" w:ascii="仿宋" w:hAnsi="仿宋" w:eastAsia="仿宋" w:cs="仿宋"/>
          <w:spacing w:val="10"/>
          <w:sz w:val="28"/>
          <w:szCs w:val="28"/>
        </w:rPr>
        <w:t xml:space="preserve">日          </w:t>
      </w:r>
    </w:p>
    <w:p>
      <w:pPr>
        <w:spacing w:line="360" w:lineRule="auto"/>
        <w:ind w:right="1071" w:firstLine="1680" w:firstLineChars="600"/>
        <w:rPr>
          <w:rFonts w:ascii="仿宋_GB2312" w:hAnsi="宋体" w:eastAsia="仿宋_GB2312"/>
          <w:sz w:val="28"/>
          <w:szCs w:val="28"/>
        </w:rPr>
      </w:pPr>
      <w:r>
        <w:rPr>
          <w:sz w:val="28"/>
          <w:szCs w:val="28"/>
        </w:rPr>
        <w:br w:type="page"/>
      </w:r>
      <w:r>
        <w:rPr>
          <w:rFonts w:hint="eastAsia"/>
          <w:sz w:val="28"/>
          <w:szCs w:val="28"/>
        </w:rPr>
        <w:t xml:space="preserve">                 </w:t>
      </w:r>
      <w:r>
        <w:rPr>
          <w:rFonts w:hint="eastAsia" w:ascii="宋体" w:hAnsi="宋体"/>
          <w:b/>
          <w:bCs/>
          <w:sz w:val="28"/>
          <w:szCs w:val="28"/>
        </w:rPr>
        <w:t>招标文件</w:t>
      </w:r>
    </w:p>
    <w:p>
      <w:pPr>
        <w:pStyle w:val="4"/>
        <w:spacing w:line="480" w:lineRule="auto"/>
        <w:ind w:firstLine="560" w:firstLineChars="200"/>
        <w:rPr>
          <w:rFonts w:ascii="仿宋_GB2312" w:hAnsi="宋体" w:eastAsia="仿宋_GB2312"/>
          <w:sz w:val="28"/>
          <w:szCs w:val="28"/>
          <w:u w:val="single"/>
        </w:rPr>
      </w:pPr>
      <w:r>
        <w:rPr>
          <w:rFonts w:hint="eastAsia" w:ascii="仿宋_GB2312" w:hAnsi="宋体" w:eastAsia="仿宋_GB2312"/>
          <w:sz w:val="28"/>
          <w:szCs w:val="28"/>
        </w:rPr>
        <w:t>山东金宝电子有限公司就</w:t>
      </w:r>
      <w:r>
        <w:rPr>
          <w:rFonts w:hint="eastAsia" w:ascii="仿宋_GB2312" w:hAnsi="宋体" w:eastAsia="仿宋_GB2312"/>
          <w:sz w:val="28"/>
          <w:szCs w:val="28"/>
          <w:u w:val="single"/>
        </w:rPr>
        <w:t>“含铜液稳定铜离子回收铜系统”</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pPr>
        <w:pStyle w:val="19"/>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firstLine="562" w:firstLineChars="200"/>
        <w:textAlignment w:val="auto"/>
        <w:rPr>
          <w:rFonts w:ascii="仿宋_GB2312" w:hAnsi="宋体" w:eastAsia="仿宋_GB2312"/>
          <w:sz w:val="28"/>
          <w:szCs w:val="28"/>
        </w:rPr>
      </w:pPr>
      <w:r>
        <w:rPr>
          <w:rFonts w:hint="eastAsia" w:ascii="仿宋_GB2312" w:hAnsi="宋体" w:eastAsia="仿宋_GB2312"/>
          <w:b/>
          <w:bCs/>
          <w:sz w:val="28"/>
          <w:szCs w:val="28"/>
        </w:rPr>
        <w:t>招标人：</w:t>
      </w:r>
      <w:r>
        <w:rPr>
          <w:rFonts w:hint="eastAsia" w:ascii="仿宋_GB2312" w:hAnsi="宋体" w:eastAsia="仿宋_GB2312"/>
          <w:sz w:val="28"/>
          <w:szCs w:val="28"/>
        </w:rPr>
        <w:t>山东金宝电子有限公司</w:t>
      </w:r>
    </w:p>
    <w:p>
      <w:pPr>
        <w:pStyle w:val="4"/>
        <w:spacing w:line="480" w:lineRule="auto"/>
        <w:ind w:firstLine="562" w:firstLineChars="200"/>
        <w:rPr>
          <w:rFonts w:ascii="仿宋_GB2312" w:hAnsi="宋体" w:eastAsia="仿宋_GB2312"/>
          <w:b/>
          <w:bCs/>
          <w:sz w:val="28"/>
          <w:szCs w:val="28"/>
        </w:rPr>
      </w:pPr>
      <w:r>
        <w:rPr>
          <w:rFonts w:hint="eastAsia" w:ascii="仿宋_GB2312" w:hAnsi="宋体" w:eastAsia="仿宋_GB2312"/>
          <w:b/>
          <w:bCs/>
          <w:sz w:val="28"/>
          <w:szCs w:val="28"/>
        </w:rPr>
        <w:t>二、项目名称：含铜液稳定铜离子回收铜系统采购</w:t>
      </w:r>
    </w:p>
    <w:p>
      <w:pPr>
        <w:spacing w:line="360" w:lineRule="auto"/>
        <w:ind w:right="70" w:firstLine="562" w:firstLineChars="200"/>
        <w:rPr>
          <w:rFonts w:ascii="仿宋_GB2312" w:eastAsia="仿宋_GB2312"/>
          <w:b/>
          <w:sz w:val="28"/>
          <w:szCs w:val="28"/>
        </w:rPr>
      </w:pPr>
      <w:r>
        <w:rPr>
          <w:rFonts w:hint="eastAsia" w:ascii="仿宋_GB2312" w:eastAsia="仿宋_GB2312"/>
          <w:b/>
          <w:sz w:val="28"/>
          <w:szCs w:val="28"/>
        </w:rPr>
        <w:t>三、投标时间：</w:t>
      </w:r>
    </w:p>
    <w:p>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技术投标时间：2023.09</w:t>
      </w:r>
      <w:r>
        <w:rPr>
          <w:rFonts w:hint="eastAsia" w:ascii="仿宋_GB2312" w:eastAsia="仿宋_GB2312"/>
          <w:b/>
          <w:color w:val="C00000"/>
          <w:sz w:val="28"/>
          <w:szCs w:val="28"/>
          <w:lang w:val="en-US" w:eastAsia="zh-CN"/>
        </w:rPr>
        <w:t>.12-2023.09.19</w:t>
      </w:r>
    </w:p>
    <w:p>
      <w:pPr>
        <w:spacing w:line="360" w:lineRule="auto"/>
        <w:ind w:firstLine="1124" w:firstLineChars="400"/>
        <w:rPr>
          <w:rFonts w:hint="default" w:ascii="仿宋_GB2312" w:eastAsia="仿宋_GB2312"/>
          <w:bCs/>
          <w:color w:val="C00000"/>
          <w:sz w:val="28"/>
          <w:szCs w:val="28"/>
          <w:lang w:val="en-US" w:eastAsia="zh-CN"/>
        </w:rPr>
      </w:pPr>
      <w:r>
        <w:rPr>
          <w:rFonts w:hint="eastAsia" w:ascii="仿宋_GB2312" w:eastAsia="仿宋_GB2312"/>
          <w:b/>
          <w:color w:val="C00000"/>
          <w:sz w:val="28"/>
          <w:szCs w:val="28"/>
        </w:rPr>
        <w:t>商务投标时间：2023.09</w:t>
      </w:r>
      <w:r>
        <w:rPr>
          <w:rFonts w:hint="eastAsia" w:ascii="仿宋_GB2312" w:eastAsia="仿宋_GB2312"/>
          <w:b/>
          <w:color w:val="C00000"/>
          <w:sz w:val="28"/>
          <w:szCs w:val="28"/>
          <w:lang w:val="en-US" w:eastAsia="zh-CN"/>
        </w:rPr>
        <w:t>.19-2023.09.26</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      薛林源         尹瑞权</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 xml:space="preserve">联系方式：      13583535466    13780923594 </w:t>
      </w:r>
    </w:p>
    <w:p>
      <w:pPr>
        <w:spacing w:line="360" w:lineRule="auto"/>
        <w:ind w:right="70" w:firstLine="1124" w:firstLineChars="400"/>
        <w:rPr>
          <w:rFonts w:ascii="仿宋" w:hAnsi="仿宋" w:eastAsia="仿宋" w:cs="仿宋"/>
          <w:b/>
          <w:bCs/>
          <w:sz w:val="28"/>
          <w:szCs w:val="28"/>
        </w:rPr>
      </w:pPr>
      <w:r>
        <w:rPr>
          <w:rFonts w:hint="eastAsia" w:ascii="仿宋_GB2312" w:hAnsi="宋体" w:eastAsia="仿宋_GB2312"/>
          <w:b/>
          <w:bCs/>
          <w:sz w:val="28"/>
          <w:szCs w:val="28"/>
        </w:rPr>
        <w:t>邮箱：</w:t>
      </w:r>
      <w:r>
        <w:rPr>
          <w:rFonts w:ascii="仿宋_GB2312" w:hAnsi="宋体" w:eastAsia="仿宋_GB2312"/>
          <w:b/>
          <w:bCs/>
          <w:sz w:val="28"/>
          <w:szCs w:val="28"/>
        </w:rPr>
        <w:t xml:space="preserve"> </w:t>
      </w:r>
      <w:r>
        <w:rPr>
          <w:rFonts w:hint="eastAsia" w:ascii="仿宋_GB2312" w:hAnsi="宋体" w:eastAsia="仿宋_GB2312"/>
          <w:b/>
          <w:bCs/>
          <w:sz w:val="28"/>
          <w:szCs w:val="28"/>
        </w:rPr>
        <w:t>yin8116376@163</w:t>
      </w:r>
      <w:r>
        <w:rPr>
          <w:rFonts w:hint="eastAsia" w:ascii="仿宋" w:hAnsi="仿宋" w:eastAsia="仿宋" w:cs="仿宋"/>
          <w:b/>
          <w:bCs/>
          <w:sz w:val="28"/>
          <w:szCs w:val="28"/>
        </w:rPr>
        <w:t>.com</w:t>
      </w:r>
    </w:p>
    <w:p>
      <w:pPr>
        <w:numPr>
          <w:ilvl w:val="0"/>
          <w:numId w:val="2"/>
        </w:numPr>
        <w:spacing w:line="360" w:lineRule="auto"/>
        <w:ind w:right="70" w:firstLine="562" w:firstLineChars="200"/>
        <w:rPr>
          <w:rFonts w:ascii="仿宋_GB2312" w:hAnsi="宋体" w:eastAsia="仿宋_GB2312"/>
          <w:color w:val="C00000"/>
          <w:sz w:val="28"/>
          <w:szCs w:val="28"/>
        </w:rPr>
      </w:pPr>
      <w:r>
        <w:rPr>
          <w:rFonts w:hint="eastAsia" w:ascii="仿宋_GB2312" w:hAnsi="宋体" w:eastAsia="仿宋_GB2312"/>
          <w:b/>
          <w:bCs/>
          <w:color w:val="C00000"/>
          <w:sz w:val="28"/>
          <w:szCs w:val="28"/>
        </w:rPr>
        <w:t>商务联系人：</w:t>
      </w:r>
      <w:r>
        <w:rPr>
          <w:rFonts w:hint="eastAsia" w:ascii="仿宋_GB2312" w:hAnsi="宋体" w:eastAsia="仿宋_GB2312"/>
          <w:color w:val="C00000"/>
          <w:sz w:val="28"/>
          <w:szCs w:val="28"/>
        </w:rPr>
        <w:t xml:space="preserve"> 王建清 18105355840</w:t>
      </w:r>
    </w:p>
    <w:p>
      <w:pPr>
        <w:spacing w:line="360" w:lineRule="auto"/>
        <w:ind w:firstLine="1124" w:firstLineChars="400"/>
        <w:rPr>
          <w:rFonts w:hint="eastAsia" w:ascii="仿宋_GB2312" w:eastAsia="仿宋_GB2312"/>
          <w:b/>
          <w:color w:val="C00000"/>
          <w:sz w:val="28"/>
          <w:szCs w:val="28"/>
        </w:rPr>
      </w:pPr>
      <w:r>
        <w:rPr>
          <w:rFonts w:hint="eastAsia" w:ascii="仿宋_GB2312" w:eastAsia="仿宋_GB2312"/>
          <w:b/>
          <w:color w:val="C00000"/>
          <w:sz w:val="28"/>
          <w:szCs w:val="28"/>
        </w:rPr>
        <w:t>商务投标邮箱</w:t>
      </w:r>
      <w:r>
        <w:rPr>
          <w:rFonts w:hint="eastAsia" w:ascii="仿宋_GB2312" w:eastAsia="仿宋_GB2312"/>
          <w:b/>
          <w:color w:val="C00000"/>
          <w:sz w:val="28"/>
          <w:szCs w:val="28"/>
          <w:lang w:eastAsia="zh-CN"/>
        </w:rPr>
        <w:t>：</w:t>
      </w:r>
      <w:r>
        <w:rPr>
          <w:rFonts w:hint="eastAsia" w:ascii="仿宋_GB2312" w:eastAsia="仿宋_GB2312"/>
          <w:b/>
          <w:color w:val="C00000"/>
          <w:sz w:val="28"/>
          <w:szCs w:val="28"/>
        </w:rPr>
        <w:t xml:space="preserve">jinbaocgzb@chinajinbao.com </w:t>
      </w:r>
    </w:p>
    <w:p>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报价方式：“XXX公司+XXX项目报价”</w:t>
      </w:r>
      <w:bookmarkStart w:id="3" w:name="_GoBack"/>
      <w:bookmarkEnd w:id="3"/>
    </w:p>
    <w:p>
      <w:pPr>
        <w:numPr>
          <w:ilvl w:val="0"/>
          <w:numId w:val="2"/>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投标地点：招远市国大路268号金宝电子采购部</w:t>
      </w:r>
    </w:p>
    <w:p>
      <w:pPr>
        <w:numPr>
          <w:ilvl w:val="0"/>
          <w:numId w:val="2"/>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七、邮    编：</w:t>
      </w:r>
      <w:r>
        <w:rPr>
          <w:rFonts w:hint="eastAsia" w:ascii="仿宋_GB2312" w:hAnsi="宋体" w:eastAsia="仿宋_GB2312"/>
          <w:sz w:val="28"/>
          <w:szCs w:val="28"/>
        </w:rPr>
        <w:t>265400</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八、</w:t>
      </w:r>
      <w:r>
        <w:rPr>
          <w:rFonts w:hint="eastAsia" w:ascii="仿宋_GB2312" w:hAnsi="宋体" w:eastAsia="仿宋_GB2312"/>
          <w:b/>
          <w:bCs/>
          <w:color w:val="C00000"/>
          <w:sz w:val="28"/>
          <w:szCs w:val="28"/>
        </w:rPr>
        <w:t>投标保证金：</w:t>
      </w:r>
      <w:r>
        <w:rPr>
          <w:rFonts w:hint="eastAsia" w:ascii="仿宋_GB2312" w:hAnsi="宋体" w:eastAsia="仿宋_GB2312"/>
          <w:b/>
          <w:bCs/>
          <w:color w:val="C00000"/>
          <w:sz w:val="28"/>
          <w:szCs w:val="28"/>
          <w:lang w:val="en-US" w:eastAsia="zh-CN"/>
        </w:rPr>
        <w:t>17000</w:t>
      </w:r>
      <w:r>
        <w:rPr>
          <w:rFonts w:hint="eastAsia" w:ascii="仿宋_GB2312" w:hAnsi="宋体" w:eastAsia="仿宋_GB2312"/>
          <w:b/>
          <w:bCs/>
          <w:color w:val="C00000"/>
          <w:sz w:val="28"/>
          <w:szCs w:val="28"/>
        </w:rPr>
        <w:t>元</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 xml:space="preserve">    </w:t>
      </w:r>
      <w:r>
        <w:rPr>
          <w:rFonts w:hint="eastAsia" w:ascii="仿宋_GB2312" w:hAnsi="宋体" w:eastAsia="仿宋_GB2312"/>
          <w:b/>
          <w:bCs/>
          <w:color w:val="C00000"/>
          <w:sz w:val="28"/>
          <w:szCs w:val="28"/>
        </w:rPr>
        <w:t>汇款资料：</w:t>
      </w:r>
    </w:p>
    <w:p>
      <w:pPr>
        <w:spacing w:line="440" w:lineRule="exact"/>
        <w:ind w:firstLine="1405" w:firstLineChars="500"/>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单位名称：山东金宝电子股份有限公司</w:t>
      </w:r>
    </w:p>
    <w:p>
      <w:pPr>
        <w:widowControl/>
        <w:ind w:firstLine="1405" w:firstLineChars="500"/>
        <w:jc w:val="lef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帐    号：5000 6473 3510 017</w:t>
      </w:r>
    </w:p>
    <w:p>
      <w:pPr>
        <w:widowControl/>
        <w:ind w:firstLine="1405" w:firstLineChars="500"/>
        <w:jc w:val="left"/>
      </w:pPr>
      <w:r>
        <w:rPr>
          <w:rFonts w:hint="eastAsia" w:ascii="仿宋_GB2312" w:hAnsi="仿宋_GB2312" w:eastAsia="仿宋_GB2312" w:cs="仿宋_GB2312"/>
          <w:b/>
          <w:bCs/>
          <w:color w:val="C00000"/>
          <w:sz w:val="28"/>
          <w:szCs w:val="28"/>
        </w:rPr>
        <w:t>开 户 行：恒丰银行招远支行</w:t>
      </w:r>
    </w:p>
    <w:p>
      <w:pPr>
        <w:spacing w:line="440" w:lineRule="exact"/>
        <w:ind w:firstLine="1400" w:firstLineChars="500"/>
        <w:rPr>
          <w:rFonts w:ascii="仿宋_GB2312" w:hAnsi="仿宋_GB2312" w:eastAsia="仿宋_GB2312" w:cs="仿宋_GB2312"/>
          <w:sz w:val="28"/>
          <w:szCs w:val="28"/>
        </w:rPr>
      </w:pPr>
    </w:p>
    <w:p>
      <w:pPr>
        <w:spacing w:line="440" w:lineRule="exact"/>
        <w:ind w:firstLine="1400" w:firstLineChars="500"/>
        <w:rPr>
          <w:rFonts w:ascii="仿宋_GB2312" w:hAnsi="仿宋_GB2312" w:eastAsia="仿宋_GB2312" w:cs="仿宋_GB2312"/>
          <w:sz w:val="28"/>
          <w:szCs w:val="28"/>
        </w:rPr>
      </w:pP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投标保证金，在竞标结束后，无息返还。中标方投标保证金，在签订合同后，无息返还；中标方放弃中标权利，投标保证金将不予以返还。未缴纳投标保证金的，一律不能参与开标。</w:t>
      </w: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开标需要先进行技术投标，确定技术方案，再进行商务投标，未确定技术方案的商务投标，开标时一律作废。</w:t>
      </w:r>
    </w:p>
    <w:p>
      <w:pPr>
        <w:spacing w:line="360" w:lineRule="auto"/>
        <w:ind w:right="70" w:firstLine="562" w:firstLineChars="200"/>
        <w:rPr>
          <w:rFonts w:ascii="仿宋_GB2312" w:hAnsi="宋体" w:eastAsia="仿宋_GB2312"/>
          <w:b/>
          <w:bCs/>
          <w:color w:val="auto"/>
          <w:sz w:val="28"/>
          <w:szCs w:val="28"/>
          <w:highlight w:val="yellow"/>
        </w:rPr>
      </w:pPr>
      <w:r>
        <w:rPr>
          <w:rFonts w:hint="eastAsia" w:ascii="仿宋_GB2312" w:hAnsi="宋体" w:eastAsia="仿宋_GB2312"/>
          <w:b/>
          <w:bCs/>
          <w:color w:val="auto"/>
          <w:sz w:val="28"/>
          <w:szCs w:val="28"/>
          <w:highlight w:val="yellow"/>
        </w:rPr>
        <w:t>技术投标需要将技术方案以邮件的形式发送到我公司技术联系人的邮箱中（联系人：薛林源13583535466）；商务投标可以将标书邮寄或直接送达商务投标地点（王建清 18105355840），标书务必要密封。</w:t>
      </w:r>
    </w:p>
    <w:p>
      <w:pPr>
        <w:spacing w:line="360" w:lineRule="auto"/>
        <w:ind w:right="70" w:firstLine="562" w:firstLineChars="200"/>
        <w:rPr>
          <w:rFonts w:ascii="仿宋_GB2312" w:hAnsi="宋体" w:eastAsia="仿宋_GB2312"/>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rPr>
          <w:rFonts w:hint="eastAsia" w:ascii="仿宋_GB2312" w:hAnsi="宋体" w:eastAsia="仿宋_GB2312"/>
          <w:b/>
          <w:bCs/>
          <w:sz w:val="28"/>
          <w:szCs w:val="28"/>
        </w:rPr>
      </w:pPr>
      <w:r>
        <w:rPr>
          <w:rFonts w:hint="eastAsia" w:ascii="仿宋_GB2312" w:hAnsi="宋体" w:eastAsia="仿宋_GB2312"/>
          <w:b/>
          <w:bCs/>
          <w:sz w:val="28"/>
          <w:szCs w:val="28"/>
        </w:rPr>
        <w:br w:type="page"/>
      </w: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pPr>
        <w:numPr>
          <w:ilvl w:val="0"/>
          <w:numId w:val="3"/>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投标要求</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1、投标人应根据招标人提供的项目需求设计整体解决方案，制定项目配置及实施方案，进行分项报价，并提供方案说明及服务承诺。</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2、投标人应按照招标文件的要求提供完整、准确的投标文件，保证所指定的解决方案满足招标人所提出的项目全部要求，并对所有资料的真实性承担法律责任。</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3、招标人保留与投标人的报价进行商务谈判的权利，同时保留对投标人的客户进行咨询（不涉及商业机密内容）的权利。</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4、在参与本次招标过程中出现以下情况或行为，将取消其投标资格且不予返还投标保证金：</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①采取弄虚作假的方式，提供虚假的信息或资料；</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②存在不正当竞争，如：串标、陪标现象；</w:t>
      </w:r>
    </w:p>
    <w:p>
      <w:pPr>
        <w:spacing w:line="360" w:lineRule="auto"/>
        <w:ind w:right="70" w:firstLine="642"/>
        <w:rPr>
          <w:rFonts w:ascii="仿宋_GB2312" w:hAnsi="宋体" w:eastAsia="仿宋_GB2312"/>
          <w:sz w:val="28"/>
          <w:szCs w:val="28"/>
          <w:highlight w:val="yellow"/>
        </w:rPr>
      </w:pPr>
      <w:r>
        <w:rPr>
          <w:rFonts w:hint="eastAsia" w:ascii="仿宋_GB2312" w:hAnsi="仿宋_GB2312" w:eastAsia="仿宋_GB2312" w:cs="仿宋_GB2312"/>
          <w:sz w:val="28"/>
          <w:szCs w:val="28"/>
          <w:highlight w:val="yellow"/>
        </w:rPr>
        <w:t>③</w:t>
      </w:r>
      <w:r>
        <w:rPr>
          <w:rFonts w:hint="eastAsia" w:ascii="仿宋_GB2312" w:hAnsi="宋体" w:eastAsia="仿宋_GB2312"/>
          <w:sz w:val="28"/>
          <w:szCs w:val="28"/>
          <w:highlight w:val="yellow"/>
        </w:rPr>
        <w:t>存在贿赂、威胁、利诱等行为，妄图影响招标的真实性、公正性；（该行为将被记录在案，永久性取消投标资格。）</w:t>
      </w:r>
    </w:p>
    <w:p>
      <w:pPr>
        <w:numPr>
          <w:ilvl w:val="0"/>
          <w:numId w:val="3"/>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投标无效</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有以下情形的投标文件，视为无效：</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逾期未送达投标文件的；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未按规定递交密封投标文件的；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投标文件的编制、内容与招标文件存在明显差异或不符的；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未加盖公章或无授权委托书的；</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pPr>
        <w:spacing w:line="360" w:lineRule="auto"/>
        <w:ind w:left="642"/>
        <w:rPr>
          <w:rFonts w:ascii="仿宋_GB2312" w:eastAsia="仿宋_GB2312"/>
          <w:sz w:val="28"/>
          <w:szCs w:val="28"/>
        </w:rPr>
      </w:pPr>
      <w:r>
        <w:rPr>
          <w:rFonts w:hint="eastAsia" w:ascii="仿宋_GB2312" w:eastAsia="仿宋_GB2312"/>
          <w:sz w:val="28"/>
          <w:szCs w:val="28"/>
        </w:rPr>
        <w:t>5、标书要求</w:t>
      </w:r>
    </w:p>
    <w:p>
      <w:pPr>
        <w:spacing w:line="360" w:lineRule="auto"/>
        <w:ind w:left="642"/>
        <w:rPr>
          <w:rFonts w:hint="eastAsia" w:ascii="仿宋_GB2312" w:hAnsi="宋体" w:eastAsia="仿宋_GB2312"/>
          <w:sz w:val="28"/>
          <w:szCs w:val="28"/>
        </w:rPr>
      </w:pPr>
      <w:r>
        <w:rPr>
          <w:rFonts w:hint="eastAsia" w:ascii="仿宋_GB2312" w:eastAsia="仿宋_GB2312"/>
          <w:sz w:val="28"/>
          <w:szCs w:val="28"/>
        </w:rPr>
        <w:t>本招标项目要求投标者根据上述要求，将有关资料整理做成标书，标</w:t>
      </w:r>
      <w:r>
        <w:rPr>
          <w:rFonts w:hint="eastAsia" w:ascii="仿宋_GB2312" w:hAnsi="华文细黑" w:eastAsia="仿宋_GB2312"/>
          <w:sz w:val="28"/>
          <w:szCs w:val="28"/>
        </w:rPr>
        <w:t>书要求</w:t>
      </w:r>
      <w:r>
        <w:rPr>
          <w:rFonts w:hint="eastAsia" w:ascii="仿宋_GB2312" w:hAnsi="宋体" w:eastAsia="仿宋_GB2312"/>
          <w:sz w:val="28"/>
          <w:szCs w:val="28"/>
        </w:rPr>
        <w:t>一正一副。</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一、付款要求</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1、付款形式：（电子）承兑汇票；</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2、付款方式：</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2.1、①预付款30%；②安装完成验收合格付款60%；③质保金10%（一</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年后付清）；</w:t>
      </w:r>
      <w:r>
        <w:rPr>
          <w:rFonts w:hint="eastAsia" w:ascii="仿宋_GB2312" w:hAnsi="宋体" w:eastAsia="仿宋_GB2312"/>
          <w:sz w:val="28"/>
          <w:szCs w:val="28"/>
          <w:highlight w:val="yellow"/>
        </w:rPr>
        <w:t>预付款，需开具同等金额银行履约保函后才能付款。</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2.2、①到货安装完成验收合格付款90%；②质保金10%（一年后付清）。</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2.3、或者比上述两者更优越的付款条件。</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3、售后或其他要求：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二、工期要求</w:t>
      </w:r>
    </w:p>
    <w:p>
      <w:pPr>
        <w:pStyle w:val="19"/>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1、交货日期：合同签订</w:t>
      </w:r>
      <w:r>
        <w:rPr>
          <w:rFonts w:ascii="仿宋_GB2312" w:hAnsi="宋体" w:eastAsia="仿宋_GB2312"/>
          <w:sz w:val="28"/>
          <w:szCs w:val="28"/>
        </w:rPr>
        <w:t>后</w:t>
      </w:r>
      <w:r>
        <w:rPr>
          <w:rFonts w:hint="eastAsia" w:ascii="仿宋_GB2312" w:hAnsi="宋体" w:eastAsia="仿宋_GB2312"/>
          <w:sz w:val="28"/>
          <w:szCs w:val="28"/>
          <w:u w:val="single"/>
          <w:lang w:val="en-US" w:eastAsia="zh-CN"/>
        </w:rPr>
        <w:t xml:space="preserve"> 20</w:t>
      </w:r>
      <w:r>
        <w:rPr>
          <w:rFonts w:hint="eastAsia" w:ascii="仿宋_GB2312" w:hAnsi="宋体" w:eastAsia="仿宋_GB2312"/>
          <w:sz w:val="28"/>
          <w:szCs w:val="28"/>
          <w:u w:val="single"/>
        </w:rPr>
        <w:t>日</w:t>
      </w:r>
      <w:r>
        <w:rPr>
          <w:rFonts w:hint="eastAsia" w:ascii="仿宋_GB2312" w:hAnsi="宋体" w:eastAsia="仿宋_GB2312"/>
          <w:sz w:val="28"/>
          <w:szCs w:val="28"/>
        </w:rPr>
        <w:t>。</w:t>
      </w:r>
    </w:p>
    <w:p>
      <w:pPr>
        <w:pStyle w:val="19"/>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2、交货地点：铜箔金晖路厂</w:t>
      </w:r>
    </w:p>
    <w:p>
      <w:pPr>
        <w:pStyle w:val="19"/>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 xml:space="preserve">        </w:t>
      </w:r>
    </w:p>
    <w:p>
      <w:pPr>
        <w:spacing w:line="360" w:lineRule="auto"/>
        <w:ind w:right="1071"/>
        <w:jc w:val="center"/>
        <w:rPr>
          <w:rFonts w:ascii="仿宋_GB2312" w:hAnsi="宋体" w:eastAsia="仿宋_GB2312"/>
          <w:b/>
          <w:bCs/>
          <w:sz w:val="32"/>
          <w:szCs w:val="32"/>
        </w:rPr>
      </w:pPr>
      <w:r>
        <w:rPr>
          <w:rFonts w:hint="eastAsia" w:ascii="仿宋_GB2312" w:hAnsi="宋体" w:eastAsia="仿宋_GB2312"/>
          <w:b/>
          <w:bCs/>
          <w:sz w:val="28"/>
          <w:szCs w:val="28"/>
        </w:rPr>
        <w:t xml:space="preserve">第三部分   </w:t>
      </w:r>
      <w:r>
        <w:rPr>
          <w:rFonts w:hint="eastAsia" w:ascii="仿宋_GB2312" w:hAnsi="宋体" w:eastAsia="仿宋_GB2312"/>
          <w:b/>
          <w:bCs/>
          <w:sz w:val="32"/>
          <w:szCs w:val="32"/>
        </w:rPr>
        <w:t>技术指标及规格要求</w:t>
      </w:r>
    </w:p>
    <w:p>
      <w:pPr>
        <w:pStyle w:val="19"/>
        <w:numPr>
          <w:ilvl w:val="0"/>
          <w:numId w:val="6"/>
        </w:numPr>
        <w:ind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标的物：</w:t>
      </w:r>
    </w:p>
    <w:tbl>
      <w:tblPr>
        <w:tblStyle w:val="12"/>
        <w:tblW w:w="8931" w:type="dxa"/>
        <w:tblInd w:w="67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09"/>
        <w:gridCol w:w="2410"/>
        <w:gridCol w:w="1134"/>
        <w:gridCol w:w="992"/>
        <w:gridCol w:w="851"/>
        <w:gridCol w:w="850"/>
        <w:gridCol w:w="709"/>
        <w:gridCol w:w="12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1" w:hRule="atLeast"/>
        </w:trPr>
        <w:tc>
          <w:tcPr>
            <w:tcW w:w="70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2410"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产品名称</w:t>
            </w:r>
          </w:p>
        </w:tc>
        <w:tc>
          <w:tcPr>
            <w:tcW w:w="1134"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规格型号</w:t>
            </w:r>
          </w:p>
        </w:tc>
        <w:tc>
          <w:tcPr>
            <w:tcW w:w="992"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单位</w:t>
            </w:r>
          </w:p>
        </w:tc>
        <w:tc>
          <w:tcPr>
            <w:tcW w:w="851"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850"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单价</w:t>
            </w:r>
          </w:p>
        </w:tc>
        <w:tc>
          <w:tcPr>
            <w:tcW w:w="709" w:type="dxa"/>
          </w:tcPr>
          <w:p>
            <w:pPr>
              <w:widowControl/>
              <w:spacing w:line="400" w:lineRule="exact"/>
              <w:jc w:val="center"/>
              <w:rPr>
                <w:rFonts w:ascii="仿宋_GB2312" w:hAnsi="仿宋_GB2312" w:eastAsia="仿宋_GB2312" w:cs="仿宋_GB2312"/>
                <w:szCs w:val="21"/>
              </w:rPr>
            </w:pPr>
            <w:r>
              <w:rPr>
                <w:rFonts w:ascii="仿宋_GB2312" w:hAnsi="仿宋_GB2312" w:eastAsia="仿宋_GB2312" w:cs="仿宋_GB2312"/>
                <w:szCs w:val="21"/>
              </w:rPr>
              <w:t>总价</w:t>
            </w:r>
          </w:p>
        </w:tc>
        <w:tc>
          <w:tcPr>
            <w:tcW w:w="1276"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ascii="仿宋_GB2312" w:hAnsi="仿宋_GB2312" w:eastAsia="仿宋_GB2312" w:cs="仿宋_GB2312"/>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2410"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含铜液稳定铜离子   回收铜系统</w:t>
            </w:r>
          </w:p>
        </w:tc>
        <w:tc>
          <w:tcPr>
            <w:tcW w:w="1134" w:type="dxa"/>
            <w:tcMar>
              <w:top w:w="0" w:type="dxa"/>
              <w:left w:w="108" w:type="dxa"/>
              <w:bottom w:w="0" w:type="dxa"/>
              <w:right w:w="108" w:type="dxa"/>
            </w:tcMar>
            <w:vAlign w:val="center"/>
          </w:tcPr>
          <w:p>
            <w:pPr>
              <w:widowControl/>
              <w:spacing w:line="400" w:lineRule="exact"/>
              <w:jc w:val="left"/>
              <w:rPr>
                <w:rFonts w:ascii="仿宋_GB2312" w:hAnsi="仿宋_GB2312" w:eastAsia="仿宋_GB2312" w:cs="仿宋_GB2312"/>
                <w:szCs w:val="21"/>
              </w:rPr>
            </w:pPr>
          </w:p>
        </w:tc>
        <w:tc>
          <w:tcPr>
            <w:tcW w:w="992"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套</w:t>
            </w:r>
          </w:p>
        </w:tc>
        <w:tc>
          <w:tcPr>
            <w:tcW w:w="851"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850"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p>
        </w:tc>
        <w:tc>
          <w:tcPr>
            <w:tcW w:w="709" w:type="dxa"/>
          </w:tcPr>
          <w:p>
            <w:pPr>
              <w:widowControl/>
              <w:spacing w:line="400" w:lineRule="exact"/>
              <w:jc w:val="left"/>
              <w:rPr>
                <w:rFonts w:ascii="仿宋_GB2312" w:hAnsi="仿宋_GB2312" w:eastAsia="仿宋_GB2312" w:cs="仿宋_GB2312"/>
                <w:sz w:val="28"/>
                <w:szCs w:val="28"/>
              </w:rPr>
            </w:pPr>
          </w:p>
        </w:tc>
        <w:tc>
          <w:tcPr>
            <w:tcW w:w="1276"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原有设备</w:t>
            </w:r>
            <w:r>
              <w:rPr>
                <w:rFonts w:ascii="仿宋_GB2312" w:hAnsi="仿宋_GB2312" w:eastAsia="仿宋_GB2312" w:cs="仿宋_GB2312"/>
                <w:szCs w:val="21"/>
              </w:rPr>
              <w:t>拆除及安装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2410"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含铜液稳定铜离子   回收铜系统</w:t>
            </w:r>
          </w:p>
        </w:tc>
        <w:tc>
          <w:tcPr>
            <w:tcW w:w="1134" w:type="dxa"/>
            <w:tcMar>
              <w:top w:w="0" w:type="dxa"/>
              <w:left w:w="108" w:type="dxa"/>
              <w:bottom w:w="0" w:type="dxa"/>
              <w:right w:w="108" w:type="dxa"/>
            </w:tcMar>
            <w:vAlign w:val="center"/>
          </w:tcPr>
          <w:p>
            <w:pPr>
              <w:widowControl/>
              <w:spacing w:line="400" w:lineRule="exact"/>
              <w:jc w:val="left"/>
              <w:rPr>
                <w:rFonts w:ascii="仿宋_GB2312" w:hAnsi="仿宋_GB2312" w:eastAsia="仿宋_GB2312" w:cs="仿宋_GB2312"/>
                <w:szCs w:val="21"/>
              </w:rPr>
            </w:pPr>
          </w:p>
        </w:tc>
        <w:tc>
          <w:tcPr>
            <w:tcW w:w="992"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套</w:t>
            </w:r>
          </w:p>
        </w:tc>
        <w:tc>
          <w:tcPr>
            <w:tcW w:w="851"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850"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p>
        </w:tc>
        <w:tc>
          <w:tcPr>
            <w:tcW w:w="709" w:type="dxa"/>
          </w:tcPr>
          <w:p>
            <w:pPr>
              <w:widowControl/>
              <w:spacing w:line="400" w:lineRule="exact"/>
              <w:jc w:val="left"/>
              <w:rPr>
                <w:rFonts w:ascii="仿宋_GB2312" w:hAnsi="仿宋_GB2312" w:eastAsia="仿宋_GB2312" w:cs="仿宋_GB2312"/>
                <w:sz w:val="28"/>
                <w:szCs w:val="28"/>
              </w:rPr>
            </w:pPr>
          </w:p>
        </w:tc>
        <w:tc>
          <w:tcPr>
            <w:tcW w:w="1276"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ascii="仿宋_GB2312" w:hAnsi="仿宋_GB2312" w:eastAsia="仿宋_GB2312" w:cs="仿宋_GB2312"/>
                <w:szCs w:val="21"/>
              </w:rPr>
              <w:t>新增</w:t>
            </w:r>
          </w:p>
        </w:tc>
      </w:tr>
    </w:tbl>
    <w:p>
      <w:pPr>
        <w:rPr>
          <w:rFonts w:ascii="仿宋_GB2312" w:hAnsi="仿宋_GB2312" w:eastAsia="仿宋_GB2312" w:cs="仿宋_GB2312"/>
          <w:sz w:val="28"/>
          <w:szCs w:val="32"/>
        </w:rPr>
      </w:pPr>
      <w:r>
        <w:rPr>
          <w:rFonts w:hint="eastAsia" w:ascii="微软雅黑" w:hAnsi="微软雅黑" w:eastAsia="微软雅黑"/>
          <w:sz w:val="24"/>
        </w:rPr>
        <w:t>二、</w:t>
      </w:r>
      <w:r>
        <w:rPr>
          <w:rFonts w:hint="eastAsia" w:ascii="仿宋_GB2312" w:hAnsi="仿宋_GB2312" w:eastAsia="仿宋_GB2312" w:cs="仿宋_GB2312"/>
          <w:sz w:val="28"/>
          <w:szCs w:val="32"/>
        </w:rPr>
        <w:t xml:space="preserve">技术要求： </w:t>
      </w:r>
    </w:p>
    <w:p>
      <w:pPr>
        <w:widowControl/>
        <w:spacing w:line="360" w:lineRule="auto"/>
        <w:ind w:firstLine="480" w:firstLineChars="200"/>
        <w:jc w:val="left"/>
        <w:rPr>
          <w:rFonts w:ascii="Times New Roman" w:hAnsi="Times New Roman" w:cs="Times New Roman"/>
          <w:sz w:val="24"/>
        </w:rPr>
      </w:pPr>
      <w:r>
        <w:rPr>
          <w:rFonts w:hint="eastAsia" w:ascii="Times New Roman" w:hAnsi="Times New Roman" w:cs="Times New Roman"/>
          <w:sz w:val="24"/>
        </w:rPr>
        <w:t>该系统要确保在低铜溶液中连续稳定运行</w:t>
      </w:r>
      <w:r>
        <w:rPr>
          <w:rFonts w:ascii="Times New Roman" w:hAnsi="Times New Roman" w:cs="Times New Roman"/>
          <w:sz w:val="24"/>
        </w:rPr>
        <w:t>，</w:t>
      </w:r>
      <w:r>
        <w:rPr>
          <w:rFonts w:hint="eastAsia" w:ascii="Times New Roman" w:hAnsi="Times New Roman" w:cs="Times New Roman"/>
          <w:sz w:val="24"/>
        </w:rPr>
        <w:t>将溶液中的铜浓度稳定在</w:t>
      </w:r>
      <w:r>
        <w:rPr>
          <w:rFonts w:hint="eastAsia" w:ascii="Times New Roman" w:hAnsi="Times New Roman" w:cs="Times New Roman"/>
          <w:sz w:val="24"/>
          <w:highlight w:val="yellow"/>
        </w:rPr>
        <w:t>0</w:t>
      </w:r>
      <w:r>
        <w:rPr>
          <w:rFonts w:hint="eastAsia" w:ascii="宋体" w:hAnsi="宋体" w:cs="Times New Roman"/>
          <w:sz w:val="24"/>
          <w:highlight w:val="yellow"/>
        </w:rPr>
        <w:t>～</w:t>
      </w:r>
      <w:r>
        <w:rPr>
          <w:rFonts w:ascii="宋体" w:hAnsi="宋体" w:cs="Times New Roman"/>
          <w:sz w:val="24"/>
          <w:highlight w:val="yellow"/>
        </w:rPr>
        <w:t>1</w:t>
      </w:r>
      <w:r>
        <w:rPr>
          <w:rFonts w:hint="eastAsia" w:ascii="宋体" w:hAnsi="宋体" w:cs="Times New Roman"/>
          <w:sz w:val="24"/>
          <w:highlight w:val="yellow"/>
        </w:rPr>
        <w:t>0g</w:t>
      </w:r>
      <w:r>
        <w:rPr>
          <w:rFonts w:ascii="Times New Roman" w:hAnsi="Times New Roman" w:cs="Times New Roman"/>
          <w:sz w:val="24"/>
          <w:highlight w:val="yellow"/>
        </w:rPr>
        <w:t>/L</w:t>
      </w:r>
      <w:r>
        <w:rPr>
          <w:rFonts w:hint="eastAsia" w:ascii="Times New Roman" w:hAnsi="Times New Roman" w:cs="Times New Roman"/>
          <w:sz w:val="24"/>
        </w:rPr>
        <w:t>以内，回收纯度大于 99.</w:t>
      </w:r>
      <w:r>
        <w:rPr>
          <w:rFonts w:ascii="Times New Roman" w:hAnsi="Times New Roman" w:cs="Times New Roman"/>
          <w:sz w:val="24"/>
        </w:rPr>
        <w:t>95</w:t>
      </w:r>
      <w:r>
        <w:rPr>
          <w:rFonts w:hint="eastAsia" w:ascii="Times New Roman" w:hAnsi="Times New Roman" w:cs="Times New Roman"/>
          <w:sz w:val="24"/>
        </w:rPr>
        <w:t>%的阴极铜。</w:t>
      </w:r>
    </w:p>
    <w:p>
      <w:pPr>
        <w:widowControl/>
        <w:spacing w:line="360" w:lineRule="auto"/>
        <w:ind w:firstLine="241" w:firstLineChars="100"/>
        <w:jc w:val="left"/>
        <w:rPr>
          <w:rFonts w:ascii="Times New Roman" w:hAnsi="Times New Roman" w:cs="Times New Roman"/>
          <w:sz w:val="24"/>
        </w:rPr>
      </w:pPr>
      <w:r>
        <w:rPr>
          <w:rFonts w:hint="eastAsia" w:ascii="Times New Roman" w:hAnsi="Times New Roman" w:cs="Times New Roman"/>
          <w:b/>
          <w:sz w:val="24"/>
        </w:rPr>
        <w:t>（一）技术特点：</w:t>
      </w:r>
    </w:p>
    <w:p>
      <w:pPr>
        <w:widowControl/>
        <w:spacing w:line="360" w:lineRule="auto"/>
        <w:ind w:firstLine="480" w:firstLineChars="200"/>
        <w:jc w:val="left"/>
        <w:rPr>
          <w:rFonts w:ascii="Times New Roman" w:hAnsi="Times New Roman" w:cs="Times New Roman"/>
          <w:sz w:val="24"/>
        </w:rPr>
      </w:pPr>
      <w:r>
        <w:rPr>
          <w:rFonts w:hint="eastAsia" w:ascii="Times New Roman" w:hAnsi="Times New Roman" w:cs="Times New Roman"/>
          <w:sz w:val="24"/>
        </w:rPr>
        <w:t xml:space="preserve">1、具有高于同行的电流密度和电流效率。 </w:t>
      </w:r>
    </w:p>
    <w:p>
      <w:pPr>
        <w:widowControl/>
        <w:spacing w:line="360" w:lineRule="auto"/>
        <w:ind w:firstLine="480" w:firstLineChars="200"/>
        <w:jc w:val="left"/>
        <w:rPr>
          <w:rFonts w:ascii="Times New Roman" w:hAnsi="Times New Roman" w:cs="Times New Roman"/>
          <w:sz w:val="24"/>
        </w:rPr>
      </w:pPr>
      <w:r>
        <w:rPr>
          <w:rFonts w:hint="eastAsia" w:ascii="Times New Roman" w:hAnsi="Times New Roman" w:cs="Times New Roman"/>
          <w:sz w:val="24"/>
        </w:rPr>
        <w:t>2、阳极</w:t>
      </w:r>
      <w:r>
        <w:rPr>
          <w:rFonts w:hint="eastAsia" w:ascii="Times New Roman" w:hAnsi="Times New Roman" w:cs="Times New Roman"/>
          <w:sz w:val="24"/>
          <w:highlight w:val="yellow"/>
        </w:rPr>
        <w:t>（钛涂二氧化铱</w:t>
      </w:r>
      <w:r>
        <w:rPr>
          <w:rFonts w:hint="eastAsia" w:ascii="微软雅黑" w:hAnsi="微软雅黑" w:eastAsia="微软雅黑"/>
          <w:color w:val="333333"/>
          <w:szCs w:val="21"/>
          <w:highlight w:val="yellow"/>
          <w:shd w:val="clear" w:color="auto" w:fill="FFFFFF"/>
        </w:rPr>
        <w:t>IrO</w:t>
      </w:r>
      <w:r>
        <w:rPr>
          <w:rFonts w:ascii="Cambria Math" w:hAnsi="Cambria Math" w:eastAsia="微软雅黑" w:cs="Cambria Math"/>
          <w:color w:val="333333"/>
          <w:szCs w:val="21"/>
          <w:highlight w:val="yellow"/>
          <w:shd w:val="clear" w:color="auto" w:fill="FFFFFF"/>
        </w:rPr>
        <w:t>₂</w:t>
      </w:r>
      <w:r>
        <w:rPr>
          <w:rFonts w:hint="eastAsia" w:ascii="Times New Roman" w:hAnsi="Times New Roman" w:cs="Times New Roman"/>
          <w:sz w:val="24"/>
          <w:highlight w:val="yellow"/>
        </w:rPr>
        <w:t>）</w:t>
      </w:r>
      <w:r>
        <w:rPr>
          <w:rFonts w:hint="eastAsia" w:ascii="Times New Roman" w:hAnsi="Times New Roman" w:cs="Times New Roman"/>
          <w:sz w:val="24"/>
        </w:rPr>
        <w:t>结构要确保高电流密度的长期运行，同时彻底杜绝阳极短</w:t>
      </w:r>
    </w:p>
    <w:p>
      <w:pPr>
        <w:widowControl/>
        <w:spacing w:line="360" w:lineRule="auto"/>
        <w:ind w:firstLine="480" w:firstLineChars="200"/>
        <w:jc w:val="left"/>
        <w:rPr>
          <w:rFonts w:ascii="Times New Roman" w:hAnsi="Times New Roman" w:cs="Times New Roman"/>
          <w:sz w:val="24"/>
        </w:rPr>
      </w:pPr>
      <w:r>
        <w:rPr>
          <w:rFonts w:hint="eastAsia" w:ascii="Times New Roman" w:hAnsi="Times New Roman" w:cs="Times New Roman"/>
          <w:sz w:val="24"/>
        </w:rPr>
        <w:t xml:space="preserve">路引起的击穿等情况的发生。 </w:t>
      </w:r>
    </w:p>
    <w:p>
      <w:pPr>
        <w:widowControl/>
        <w:spacing w:line="360" w:lineRule="auto"/>
        <w:ind w:firstLine="480" w:firstLineChars="200"/>
        <w:jc w:val="left"/>
        <w:rPr>
          <w:rFonts w:ascii="Times New Roman" w:hAnsi="Times New Roman" w:cs="Times New Roman"/>
          <w:sz w:val="24"/>
        </w:rPr>
      </w:pPr>
      <w:r>
        <w:rPr>
          <w:rFonts w:hint="eastAsia" w:ascii="Times New Roman" w:hAnsi="Times New Roman" w:cs="Times New Roman"/>
          <w:sz w:val="24"/>
        </w:rPr>
        <w:t xml:space="preserve">3、电积槽体的密封结构密封效果要好，彻底杜绝跑冒滴漏现象。 </w:t>
      </w:r>
    </w:p>
    <w:p>
      <w:pPr>
        <w:widowControl/>
        <w:spacing w:line="360" w:lineRule="auto"/>
        <w:ind w:firstLine="480" w:firstLineChars="200"/>
        <w:jc w:val="left"/>
        <w:rPr>
          <w:rFonts w:ascii="Times New Roman" w:hAnsi="Times New Roman" w:cs="Times New Roman"/>
          <w:sz w:val="24"/>
        </w:rPr>
      </w:pPr>
      <w:r>
        <w:rPr>
          <w:rFonts w:hint="eastAsia" w:ascii="Times New Roman" w:hAnsi="Times New Roman" w:cs="Times New Roman"/>
          <w:sz w:val="24"/>
        </w:rPr>
        <w:t>4、电积槽体设计要合理，产品与始极片非常容易剥离，始极片破损率极低。</w:t>
      </w:r>
    </w:p>
    <w:p>
      <w:pPr>
        <w:widowControl/>
        <w:spacing w:line="360" w:lineRule="auto"/>
        <w:ind w:firstLine="480" w:firstLineChars="200"/>
        <w:jc w:val="left"/>
        <w:rPr>
          <w:rFonts w:ascii="Times New Roman" w:hAnsi="Times New Roman" w:cs="Times New Roman"/>
          <w:sz w:val="24"/>
        </w:rPr>
      </w:pPr>
      <w:r>
        <w:rPr>
          <w:rFonts w:ascii="Times New Roman" w:hAnsi="Times New Roman" w:cs="Times New Roman"/>
          <w:sz w:val="24"/>
        </w:rPr>
        <w:t>5</w:t>
      </w:r>
      <w:r>
        <w:rPr>
          <w:rFonts w:hint="eastAsia" w:ascii="Times New Roman" w:hAnsi="Times New Roman" w:cs="Times New Roman"/>
          <w:sz w:val="24"/>
        </w:rPr>
        <w:t xml:space="preserve">、系统配置合理，电积槽的出液装置等部位采用透明管材，可以直观的观察到电积槽的工作情况，及时查找和判断系统故障。 </w:t>
      </w:r>
      <w:r>
        <w:rPr>
          <w:rFonts w:ascii="Times New Roman" w:hAnsi="Times New Roman" w:cs="Times New Roman"/>
          <w:sz w:val="24"/>
        </w:rPr>
        <w:t xml:space="preserve"> </w:t>
      </w:r>
    </w:p>
    <w:p>
      <w:pPr>
        <w:widowControl/>
        <w:spacing w:line="360" w:lineRule="auto"/>
        <w:ind w:firstLine="241" w:firstLineChars="100"/>
        <w:jc w:val="left"/>
        <w:rPr>
          <w:rFonts w:ascii="Times New Roman" w:hAnsi="Times New Roman" w:cs="Times New Roman"/>
          <w:b/>
          <w:sz w:val="24"/>
        </w:rPr>
      </w:pPr>
      <w:r>
        <w:rPr>
          <w:rFonts w:hint="eastAsia" w:ascii="Times New Roman" w:hAnsi="Times New Roman" w:cs="Times New Roman"/>
          <w:b/>
          <w:sz w:val="24"/>
        </w:rPr>
        <w:t>（二）原液参数范围：</w:t>
      </w:r>
    </w:p>
    <w:p>
      <w:pPr>
        <w:widowControl/>
        <w:spacing w:line="360" w:lineRule="auto"/>
        <w:ind w:firstLine="480" w:firstLineChars="200"/>
        <w:jc w:val="left"/>
        <w:rPr>
          <w:rFonts w:ascii="Times New Roman" w:hAnsi="Times New Roman" w:cs="Times New Roman"/>
          <w:sz w:val="24"/>
        </w:rPr>
      </w:pPr>
      <w:r>
        <w:rPr>
          <w:rFonts w:hint="eastAsia" w:ascii="Times New Roman" w:hAnsi="Times New Roman" w:cs="Times New Roman"/>
          <w:sz w:val="24"/>
        </w:rPr>
        <w:t>1、铜含量：</w:t>
      </w:r>
      <w:r>
        <w:rPr>
          <w:rFonts w:ascii="Times New Roman" w:hAnsi="Times New Roman" w:cs="Times New Roman"/>
          <w:sz w:val="24"/>
        </w:rPr>
        <w:t>10</w:t>
      </w:r>
      <w:r>
        <w:rPr>
          <w:rFonts w:hint="eastAsia" w:ascii="宋体" w:hAnsi="宋体" w:cs="Times New Roman"/>
          <w:sz w:val="24"/>
        </w:rPr>
        <w:t>～</w:t>
      </w:r>
      <w:r>
        <w:rPr>
          <w:rFonts w:ascii="宋体" w:hAnsi="宋体" w:cs="Times New Roman"/>
          <w:sz w:val="24"/>
        </w:rPr>
        <w:t>15</w:t>
      </w:r>
      <w:r>
        <w:rPr>
          <w:rFonts w:hint="eastAsia" w:ascii="Times New Roman" w:hAnsi="Times New Roman" w:cs="Times New Roman"/>
          <w:sz w:val="24"/>
        </w:rPr>
        <w:t>g/l。</w:t>
      </w:r>
    </w:p>
    <w:p>
      <w:pPr>
        <w:widowControl/>
        <w:spacing w:line="360" w:lineRule="auto"/>
        <w:ind w:firstLine="480" w:firstLineChars="200"/>
        <w:jc w:val="left"/>
        <w:rPr>
          <w:rFonts w:ascii="Times New Roman" w:hAnsi="Times New Roman" w:cs="Times New Roman"/>
          <w:sz w:val="24"/>
        </w:rPr>
      </w:pPr>
      <w:r>
        <w:rPr>
          <w:rFonts w:hint="eastAsia" w:ascii="Times New Roman" w:hAnsi="Times New Roman" w:cs="Times New Roman"/>
          <w:sz w:val="24"/>
        </w:rPr>
        <w:t>2、酸含量：</w:t>
      </w:r>
      <w:r>
        <w:rPr>
          <w:rFonts w:ascii="Times New Roman" w:hAnsi="Times New Roman" w:cs="Times New Roman"/>
          <w:sz w:val="24"/>
        </w:rPr>
        <w:t>100-150</w:t>
      </w:r>
      <w:r>
        <w:rPr>
          <w:rFonts w:hint="eastAsia" w:ascii="Times New Roman" w:hAnsi="Times New Roman" w:cs="Times New Roman"/>
          <w:sz w:val="24"/>
        </w:rPr>
        <w:t>g/l</w:t>
      </w:r>
    </w:p>
    <w:p>
      <w:pPr>
        <w:widowControl/>
        <w:spacing w:line="360" w:lineRule="auto"/>
        <w:ind w:firstLine="241" w:firstLineChars="100"/>
        <w:jc w:val="left"/>
        <w:rPr>
          <w:rFonts w:ascii="Times New Roman" w:hAnsi="Times New Roman" w:cs="Times New Roman"/>
          <w:b/>
          <w:sz w:val="24"/>
        </w:rPr>
      </w:pPr>
      <w:bookmarkStart w:id="0" w:name="_Toc67655045"/>
      <w:bookmarkStart w:id="1" w:name="_Toc4534"/>
      <w:bookmarkStart w:id="2" w:name="_Toc28320"/>
      <w:r>
        <w:rPr>
          <w:rFonts w:hint="eastAsia" w:ascii="Times New Roman" w:hAnsi="Times New Roman" w:cs="Times New Roman"/>
          <w:b/>
          <w:sz w:val="24"/>
        </w:rPr>
        <w:t>（三）电解系统技术指标  (参考值)</w:t>
      </w:r>
    </w:p>
    <w:bookmarkEnd w:id="0"/>
    <w:bookmarkEnd w:id="1"/>
    <w:bookmarkEnd w:id="2"/>
    <w:p>
      <w:pPr>
        <w:widowControl/>
        <w:spacing w:line="360" w:lineRule="auto"/>
        <w:ind w:firstLine="480" w:firstLineChars="200"/>
        <w:jc w:val="left"/>
        <w:rPr>
          <w:rFonts w:ascii="Times New Roman" w:hAnsi="Times New Roman" w:cs="Times New Roman"/>
          <w:sz w:val="24"/>
        </w:rPr>
      </w:pPr>
      <w:r>
        <w:rPr>
          <w:rFonts w:ascii="Times New Roman" w:hAnsi="Times New Roman" w:cs="Times New Roman"/>
          <w:sz w:val="24"/>
        </w:rPr>
        <w:t>1、</w:t>
      </w:r>
      <w:r>
        <w:rPr>
          <w:rFonts w:hint="eastAsia" w:ascii="Times New Roman" w:hAnsi="Times New Roman" w:cs="Times New Roman"/>
          <w:sz w:val="24"/>
        </w:rPr>
        <w:t>处理能力（铜含量为</w:t>
      </w:r>
      <w:r>
        <w:rPr>
          <w:rFonts w:ascii="Times New Roman" w:hAnsi="Times New Roman" w:cs="Times New Roman"/>
          <w:sz w:val="24"/>
        </w:rPr>
        <w:t>15g</w:t>
      </w:r>
      <w:r>
        <w:rPr>
          <w:rFonts w:hint="eastAsia" w:ascii="Times New Roman" w:hAnsi="Times New Roman" w:cs="Times New Roman"/>
          <w:sz w:val="24"/>
        </w:rPr>
        <w:t>/</w:t>
      </w:r>
      <w:r>
        <w:rPr>
          <w:rFonts w:ascii="Times New Roman" w:hAnsi="Times New Roman" w:cs="Times New Roman"/>
          <w:sz w:val="24"/>
        </w:rPr>
        <w:t>L时）</w:t>
      </w:r>
      <w:r>
        <w:rPr>
          <w:rFonts w:hint="eastAsia" w:ascii="Times New Roman" w:hAnsi="Times New Roman" w:cs="Times New Roman"/>
          <w:sz w:val="24"/>
        </w:rPr>
        <w:t>：处理铜浓缩液</w:t>
      </w:r>
      <w:r>
        <w:rPr>
          <w:rFonts w:ascii="Times New Roman" w:hAnsi="Times New Roman" w:cs="Times New Roman"/>
          <w:sz w:val="24"/>
          <w:highlight w:val="yellow"/>
        </w:rPr>
        <w:t>5</w:t>
      </w:r>
      <w:r>
        <w:rPr>
          <w:rFonts w:ascii="Times New Roman" w:hAnsi="Times New Roman" w:cs="Times New Roman"/>
          <w:sz w:val="24"/>
        </w:rPr>
        <w:t>m³/天，</w:t>
      </w:r>
      <w:r>
        <w:rPr>
          <w:rFonts w:hint="eastAsia" w:ascii="Times New Roman" w:hAnsi="Times New Roman" w:cs="Times New Roman"/>
          <w:sz w:val="24"/>
        </w:rPr>
        <w:t>回收铜</w:t>
      </w:r>
      <w:r>
        <w:rPr>
          <w:rFonts w:hint="eastAsia" w:ascii="Times New Roman" w:hAnsi="Times New Roman" w:cs="Times New Roman"/>
          <w:color w:val="FF0000"/>
          <w:sz w:val="24"/>
        </w:rPr>
        <w:t>30</w:t>
      </w:r>
      <w:r>
        <w:rPr>
          <w:rFonts w:ascii="Times New Roman" w:hAnsi="Times New Roman" w:cs="Times New Roman"/>
          <w:color w:val="FF0000"/>
          <w:sz w:val="24"/>
        </w:rPr>
        <w:t>-</w:t>
      </w:r>
      <w:r>
        <w:rPr>
          <w:rFonts w:hint="eastAsia" w:ascii="Times New Roman" w:hAnsi="Times New Roman" w:cs="Times New Roman"/>
          <w:color w:val="FF0000"/>
          <w:sz w:val="24"/>
        </w:rPr>
        <w:t>35</w:t>
      </w:r>
      <w:r>
        <w:rPr>
          <w:rFonts w:ascii="Times New Roman" w:hAnsi="Times New Roman" w:cs="Times New Roman"/>
          <w:sz w:val="24"/>
        </w:rPr>
        <w:t>K</w:t>
      </w:r>
      <w:r>
        <w:rPr>
          <w:rFonts w:hint="eastAsia" w:ascii="Times New Roman" w:hAnsi="Times New Roman" w:cs="Times New Roman"/>
          <w:sz w:val="24"/>
        </w:rPr>
        <w:t>g</w:t>
      </w:r>
      <w:r>
        <w:rPr>
          <w:rFonts w:ascii="Times New Roman" w:hAnsi="Times New Roman" w:cs="Times New Roman"/>
          <w:sz w:val="24"/>
        </w:rPr>
        <w:t>/</w:t>
      </w:r>
      <w:r>
        <w:rPr>
          <w:rFonts w:hint="eastAsia" w:ascii="Times New Roman" w:hAnsi="Times New Roman" w:cs="Times New Roman"/>
          <w:sz w:val="24"/>
        </w:rPr>
        <w:t xml:space="preserve">天 </w:t>
      </w:r>
      <w:r>
        <w:rPr>
          <w:rFonts w:ascii="Times New Roman" w:hAnsi="Times New Roman" w:cs="Times New Roman"/>
          <w:sz w:val="24"/>
        </w:rPr>
        <w:t>；</w:t>
      </w:r>
      <w:r>
        <w:rPr>
          <w:rFonts w:hint="eastAsia" w:ascii="Times New Roman" w:hAnsi="Times New Roman" w:cs="Times New Roman"/>
          <w:sz w:val="24"/>
        </w:rPr>
        <w:t xml:space="preserve">                        </w:t>
      </w:r>
    </w:p>
    <w:p>
      <w:pPr>
        <w:widowControl/>
        <w:spacing w:line="360" w:lineRule="auto"/>
        <w:ind w:firstLine="480" w:firstLineChars="200"/>
        <w:jc w:val="left"/>
        <w:rPr>
          <w:rFonts w:ascii="Times New Roman" w:hAnsi="Times New Roman" w:cs="Times New Roman"/>
          <w:sz w:val="24"/>
        </w:rPr>
      </w:pPr>
      <w:r>
        <w:rPr>
          <w:rFonts w:ascii="Times New Roman" w:hAnsi="Times New Roman" w:cs="Times New Roman"/>
          <w:sz w:val="24"/>
        </w:rPr>
        <w:t>2、</w:t>
      </w:r>
      <w:r>
        <w:rPr>
          <w:rFonts w:hint="eastAsia" w:ascii="Times New Roman" w:hAnsi="Times New Roman" w:cs="Times New Roman"/>
          <w:sz w:val="24"/>
        </w:rPr>
        <w:t>最大电流密度：≥</w:t>
      </w:r>
      <w:r>
        <w:rPr>
          <w:rFonts w:ascii="Times New Roman" w:hAnsi="Times New Roman" w:cs="Times New Roman"/>
          <w:sz w:val="24"/>
        </w:rPr>
        <w:t>700</w:t>
      </w:r>
      <w:r>
        <w:rPr>
          <w:rFonts w:hint="eastAsia" w:ascii="Times New Roman" w:hAnsi="Times New Roman" w:cs="Times New Roman"/>
          <w:sz w:val="24"/>
        </w:rPr>
        <w:t>A/㎡；</w:t>
      </w:r>
    </w:p>
    <w:p>
      <w:pPr>
        <w:widowControl/>
        <w:spacing w:line="360" w:lineRule="auto"/>
        <w:ind w:firstLine="480" w:firstLineChars="200"/>
        <w:jc w:val="left"/>
        <w:rPr>
          <w:rFonts w:ascii="Times New Roman" w:hAnsi="Times New Roman" w:cs="Times New Roman"/>
          <w:sz w:val="24"/>
        </w:rPr>
      </w:pPr>
      <w:r>
        <w:rPr>
          <w:rFonts w:ascii="Times New Roman" w:hAnsi="Times New Roman" w:cs="Times New Roman"/>
          <w:sz w:val="24"/>
        </w:rPr>
        <w:t>3、</w:t>
      </w:r>
      <w:r>
        <w:rPr>
          <w:rFonts w:hint="eastAsia" w:ascii="Times New Roman" w:hAnsi="Times New Roman" w:cs="Times New Roman"/>
          <w:sz w:val="24"/>
        </w:rPr>
        <w:t>电解槽压：≤2.5～</w:t>
      </w:r>
      <w:r>
        <w:rPr>
          <w:rFonts w:ascii="Times New Roman" w:hAnsi="Times New Roman" w:cs="Times New Roman"/>
          <w:sz w:val="24"/>
        </w:rPr>
        <w:t>3.5</w:t>
      </w:r>
      <w:r>
        <w:rPr>
          <w:rFonts w:hint="eastAsia" w:ascii="Times New Roman" w:hAnsi="Times New Roman" w:cs="Times New Roman"/>
          <w:sz w:val="24"/>
        </w:rPr>
        <w:t>V  电解温度：≤</w:t>
      </w:r>
      <w:r>
        <w:rPr>
          <w:rFonts w:ascii="Times New Roman" w:hAnsi="Times New Roman" w:cs="Times New Roman"/>
          <w:sz w:val="24"/>
        </w:rPr>
        <w:t>45</w:t>
      </w:r>
      <w:r>
        <w:rPr>
          <w:rFonts w:hint="eastAsia" w:ascii="Times New Roman" w:hAnsi="Times New Roman" w:cs="Times New Roman"/>
          <w:sz w:val="24"/>
        </w:rPr>
        <w:t>℃；</w:t>
      </w:r>
    </w:p>
    <w:p>
      <w:pPr>
        <w:widowControl/>
        <w:spacing w:line="360" w:lineRule="auto"/>
        <w:jc w:val="left"/>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t xml:space="preserve">   4、</w:t>
      </w:r>
      <w:r>
        <w:rPr>
          <w:rFonts w:hint="eastAsia" w:ascii="Times New Roman" w:hAnsi="Times New Roman" w:cs="Times New Roman"/>
          <w:sz w:val="24"/>
        </w:rPr>
        <w:t>铜管铜纯度：≥99.</w:t>
      </w:r>
      <w:r>
        <w:rPr>
          <w:rFonts w:ascii="Times New Roman" w:hAnsi="Times New Roman" w:cs="Times New Roman"/>
          <w:sz w:val="24"/>
        </w:rPr>
        <w:t>95</w:t>
      </w:r>
      <w:r>
        <w:rPr>
          <w:rFonts w:hint="eastAsia" w:ascii="Times New Roman" w:hAnsi="Times New Roman" w:cs="Times New Roman"/>
          <w:sz w:val="24"/>
        </w:rPr>
        <w:t>％</w:t>
      </w:r>
      <w:r>
        <w:rPr>
          <w:rFonts w:ascii="Times New Roman" w:hAnsi="Times New Roman" w:cs="Times New Roman"/>
          <w:sz w:val="24"/>
        </w:rPr>
        <w:t>；</w:t>
      </w:r>
    </w:p>
    <w:p>
      <w:pPr>
        <w:widowControl/>
        <w:spacing w:line="360" w:lineRule="auto"/>
        <w:jc w:val="left"/>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t xml:space="preserve">   5、</w:t>
      </w:r>
      <w:r>
        <w:rPr>
          <w:rFonts w:hint="eastAsia" w:ascii="Times New Roman" w:hAnsi="Times New Roman" w:cs="Times New Roman"/>
          <w:sz w:val="24"/>
        </w:rPr>
        <w:t>表观：表面光滑平整、不含其他杂质</w:t>
      </w:r>
      <w:r>
        <w:rPr>
          <w:rFonts w:ascii="Times New Roman" w:hAnsi="Times New Roman" w:cs="Times New Roman"/>
          <w:sz w:val="24"/>
        </w:rPr>
        <w:t>；</w:t>
      </w:r>
    </w:p>
    <w:p>
      <w:pPr>
        <w:widowControl/>
        <w:spacing w:line="360" w:lineRule="auto"/>
        <w:jc w:val="left"/>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t xml:space="preserve">   6、</w:t>
      </w:r>
      <w:r>
        <w:rPr>
          <w:rFonts w:hint="eastAsia" w:ascii="Times New Roman" w:hAnsi="Times New Roman" w:cs="Times New Roman"/>
          <w:sz w:val="24"/>
        </w:rPr>
        <w:t>电解后的铜管表面及电镀过程中无铜粉产生</w:t>
      </w:r>
      <w:r>
        <w:rPr>
          <w:rFonts w:ascii="Times New Roman" w:hAnsi="Times New Roman" w:cs="Times New Roman"/>
          <w:sz w:val="24"/>
        </w:rPr>
        <w:t>；</w:t>
      </w:r>
    </w:p>
    <w:p>
      <w:pPr>
        <w:widowControl/>
        <w:spacing w:line="360" w:lineRule="auto"/>
        <w:ind w:firstLine="480" w:firstLineChars="200"/>
        <w:jc w:val="left"/>
        <w:rPr>
          <w:rFonts w:ascii="Times New Roman" w:hAnsi="Times New Roman" w:cs="Times New Roman"/>
          <w:sz w:val="24"/>
        </w:rPr>
      </w:pPr>
      <w:r>
        <w:rPr>
          <w:rFonts w:ascii="Times New Roman" w:hAnsi="Times New Roman" w:cs="Times New Roman"/>
          <w:sz w:val="24"/>
        </w:rPr>
        <w:t>7、</w:t>
      </w:r>
      <w:r>
        <w:rPr>
          <w:rFonts w:hint="eastAsia" w:ascii="Times New Roman" w:hAnsi="Times New Roman" w:cs="Times New Roman"/>
          <w:sz w:val="24"/>
        </w:rPr>
        <w:t>铜管重量：≥1</w:t>
      </w:r>
      <w:r>
        <w:rPr>
          <w:rFonts w:ascii="Times New Roman" w:hAnsi="Times New Roman" w:cs="Times New Roman"/>
          <w:sz w:val="24"/>
        </w:rPr>
        <w:t>3</w:t>
      </w:r>
      <w:r>
        <w:rPr>
          <w:rFonts w:hint="eastAsia" w:ascii="Times New Roman" w:hAnsi="Times New Roman" w:cs="Times New Roman"/>
          <w:sz w:val="24"/>
        </w:rPr>
        <w:t>～</w:t>
      </w:r>
      <w:r>
        <w:rPr>
          <w:rFonts w:ascii="Times New Roman" w:hAnsi="Times New Roman" w:cs="Times New Roman"/>
          <w:sz w:val="24"/>
        </w:rPr>
        <w:t>15</w:t>
      </w:r>
      <w:r>
        <w:rPr>
          <w:rFonts w:hint="eastAsia" w:ascii="Times New Roman" w:hAnsi="Times New Roman" w:cs="Times New Roman"/>
          <w:sz w:val="24"/>
        </w:rPr>
        <w:t>kg/支</w:t>
      </w:r>
      <w:r>
        <w:rPr>
          <w:rFonts w:ascii="Times New Roman" w:hAnsi="Times New Roman" w:cs="Times New Roman"/>
          <w:sz w:val="24"/>
        </w:rPr>
        <w:t>。</w:t>
      </w:r>
    </w:p>
    <w:p>
      <w:pPr>
        <w:ind w:firstLine="241" w:firstLineChars="100"/>
        <w:rPr>
          <w:rFonts w:ascii="Times New Roman" w:hAnsi="Times New Roman" w:cs="Times New Roman"/>
          <w:b/>
          <w:sz w:val="24"/>
        </w:rPr>
      </w:pPr>
      <w:r>
        <w:rPr>
          <w:rFonts w:hint="eastAsia" w:ascii="Times New Roman" w:hAnsi="Times New Roman" w:cs="Times New Roman"/>
          <w:b/>
          <w:sz w:val="24"/>
        </w:rPr>
        <w:t>（五）要求</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highlight w:val="yellow"/>
        </w:rPr>
        <w:t>该项目</w:t>
      </w:r>
      <w:r>
        <w:rPr>
          <w:rFonts w:ascii="仿宋_GB2312" w:hAnsi="仿宋_GB2312" w:eastAsia="仿宋_GB2312" w:cs="仿宋_GB2312"/>
          <w:sz w:val="28"/>
          <w:szCs w:val="28"/>
          <w:highlight w:val="yellow"/>
        </w:rPr>
        <w:t>为交钥匙工程，</w:t>
      </w:r>
      <w:r>
        <w:rPr>
          <w:rFonts w:hint="eastAsia" w:ascii="仿宋_GB2312" w:hAnsi="仿宋_GB2312" w:eastAsia="仿宋_GB2312" w:cs="仿宋_GB2312"/>
          <w:sz w:val="28"/>
          <w:szCs w:val="32"/>
          <w:highlight w:val="yellow"/>
        </w:rPr>
        <w:t>所有</w:t>
      </w:r>
      <w:r>
        <w:rPr>
          <w:rFonts w:hint="eastAsia" w:ascii="仿宋_GB2312" w:hAnsi="仿宋_GB2312" w:eastAsia="仿宋_GB2312" w:cs="仿宋_GB2312"/>
          <w:b/>
          <w:sz w:val="28"/>
          <w:szCs w:val="32"/>
          <w:highlight w:val="yellow"/>
        </w:rPr>
        <w:t>主、附属设备（含配套吊运铜片设备）</w:t>
      </w:r>
      <w:r>
        <w:rPr>
          <w:rFonts w:hint="eastAsia" w:ascii="仿宋_GB2312" w:hAnsi="仿宋_GB2312" w:eastAsia="仿宋_GB2312" w:cs="仿宋_GB2312"/>
          <w:sz w:val="28"/>
          <w:szCs w:val="32"/>
          <w:highlight w:val="yellow"/>
        </w:rPr>
        <w:t>的制作、安装及调试由中标方负责；</w:t>
      </w:r>
      <w:r>
        <w:rPr>
          <w:rFonts w:hint="eastAsia" w:ascii="仿宋_GB2312" w:hAnsi="仿宋_GB2312" w:eastAsia="仿宋_GB2312" w:cs="仿宋_GB2312"/>
          <w:sz w:val="28"/>
          <w:szCs w:val="28"/>
        </w:rPr>
        <w:t>中标方提供设备基础图纸及总装图，招标方负责设备基础施工；招标方只负责将主电源配置到中标方主电源控制柜；水、汽等管道至设备所需位置，碰头连接由中标方负责。</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中标方负责提供易损件CAD图纸；</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投标方负责提供设备的外形尺寸图，由于招标方操作空间限制，投标方根据招标方的要求进行设计加工及安装；</w:t>
      </w:r>
    </w:p>
    <w:p>
      <w:pPr>
        <w:widowControl/>
        <w:ind w:firstLine="560" w:firstLineChars="200"/>
        <w:jc w:val="left"/>
        <w:rPr>
          <w:rFonts w:ascii="仿宋_GB2312" w:hAnsi="仿宋_GB2312" w:eastAsia="仿宋_GB2312" w:cs="仿宋_GB2312"/>
          <w:sz w:val="28"/>
          <w:szCs w:val="32"/>
        </w:rPr>
      </w:pPr>
      <w:r>
        <w:rPr>
          <w:rFonts w:hint="eastAsia" w:ascii="仿宋_GB2312" w:hAnsi="仿宋_GB2312" w:eastAsia="仿宋_GB2312" w:cs="仿宋_GB2312"/>
          <w:sz w:val="28"/>
          <w:szCs w:val="32"/>
          <w:highlight w:val="yellow"/>
        </w:rPr>
        <w:t>4.如有密码控制，产品调试安装完成必须提供终身密码。</w:t>
      </w:r>
    </w:p>
    <w:p>
      <w:pPr>
        <w:spacing w:line="360" w:lineRule="auto"/>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5.本次标的安装调试</w:t>
      </w:r>
      <w:r>
        <w:rPr>
          <w:rFonts w:hint="eastAsia" w:ascii="仿宋_GB2312" w:hAnsi="仿宋_GB2312" w:eastAsia="仿宋_GB2312" w:cs="仿宋_GB2312"/>
          <w:b/>
          <w:sz w:val="28"/>
          <w:szCs w:val="32"/>
        </w:rPr>
        <w:t>所需主、辅材及工具由投标方负责；</w:t>
      </w:r>
    </w:p>
    <w:p>
      <w:pPr>
        <w:ind w:firstLine="560" w:firstLineChars="200"/>
        <w:rPr>
          <w:rFonts w:ascii="仿宋_GB2312" w:hAnsi="仿宋_GB2312" w:eastAsia="仿宋_GB2312" w:cs="仿宋_GB2312"/>
          <w:b/>
          <w:color w:val="FF0000"/>
          <w:sz w:val="28"/>
          <w:szCs w:val="32"/>
        </w:rPr>
      </w:pPr>
      <w:r>
        <w:rPr>
          <w:rFonts w:hint="eastAsia" w:ascii="仿宋_GB2312" w:hAnsi="仿宋_GB2312" w:eastAsia="仿宋_GB2312" w:cs="仿宋_GB2312"/>
          <w:sz w:val="28"/>
          <w:szCs w:val="32"/>
        </w:rPr>
        <w:t>6.施工前投标方与招标方先签订《安全生产、环保管理协议》，严格遵守招标方公司的相关规章制度，施工中造成的任何人身伤害和财产损失，均由投标方承担全部责任。</w:t>
      </w:r>
      <w:r>
        <w:rPr>
          <w:rFonts w:hint="eastAsia" w:ascii="仿宋_GB2312" w:hAnsi="仿宋_GB2312" w:eastAsia="仿宋_GB2312" w:cs="仿宋_GB2312"/>
          <w:b/>
          <w:color w:val="FF0000"/>
          <w:sz w:val="28"/>
          <w:szCs w:val="32"/>
        </w:rPr>
        <w:t>中标方所有施工人员必须具有相应的资格证等证件，如登高证、电工证、电焊工证等。</w:t>
      </w:r>
    </w:p>
    <w:p>
      <w:pPr>
        <w:ind w:firstLine="562" w:firstLineChars="200"/>
        <w:rPr>
          <w:rFonts w:ascii="仿宋_GB2312" w:hAnsi="仿宋_GB2312" w:eastAsia="仿宋_GB2312" w:cs="仿宋_GB2312"/>
          <w:sz w:val="28"/>
          <w:szCs w:val="32"/>
        </w:rPr>
      </w:pPr>
      <w:r>
        <w:rPr>
          <w:rFonts w:hint="eastAsia" w:ascii="仿宋_GB2312" w:hAnsi="仿宋_GB2312" w:eastAsia="仿宋_GB2312" w:cs="仿宋_GB2312"/>
          <w:b/>
          <w:color w:val="FF0000"/>
          <w:sz w:val="28"/>
          <w:szCs w:val="32"/>
        </w:rPr>
        <w:t>7.招标方安装位置现有一台含铜液稳定铜离子回收铜系统，招标方需将该设备拆解移除（包括拆除后重新安装），才能安装本次招标设备。</w:t>
      </w:r>
    </w:p>
    <w:p>
      <w:pPr>
        <w:spacing w:line="360" w:lineRule="auto"/>
        <w:ind w:left="525" w:leftChars="250"/>
        <w:rPr>
          <w:rFonts w:ascii="仿宋_GB2312" w:hAnsi="仿宋_GB2312" w:eastAsia="仿宋_GB2312" w:cs="仿宋_GB2312"/>
          <w:b/>
          <w:sz w:val="28"/>
          <w:szCs w:val="32"/>
        </w:rPr>
      </w:pPr>
      <w:r>
        <w:rPr>
          <w:rFonts w:ascii="仿宋_GB2312" w:hAnsi="仿宋_GB2312" w:eastAsia="仿宋_GB2312" w:cs="仿宋_GB2312"/>
          <w:b/>
          <w:sz w:val="28"/>
          <w:szCs w:val="32"/>
          <w:highlight w:val="yellow"/>
        </w:rPr>
        <w:t>注：建议投标方到</w:t>
      </w:r>
      <w:r>
        <w:rPr>
          <w:rFonts w:hint="eastAsia" w:ascii="仿宋_GB2312" w:hAnsi="仿宋_GB2312" w:eastAsia="仿宋_GB2312" w:cs="仿宋_GB2312"/>
          <w:b/>
          <w:sz w:val="28"/>
          <w:szCs w:val="32"/>
          <w:highlight w:val="yellow"/>
        </w:rPr>
        <w:t>施工地落实现场情况后</w:t>
      </w:r>
      <w:r>
        <w:rPr>
          <w:rFonts w:ascii="仿宋_GB2312" w:hAnsi="仿宋_GB2312" w:eastAsia="仿宋_GB2312" w:cs="仿宋_GB2312"/>
          <w:b/>
          <w:sz w:val="28"/>
          <w:szCs w:val="32"/>
          <w:highlight w:val="yellow"/>
        </w:rPr>
        <w:t>，并根据甲方要求</w:t>
      </w:r>
      <w:r>
        <w:rPr>
          <w:rFonts w:hint="eastAsia" w:ascii="仿宋_GB2312" w:hAnsi="仿宋_GB2312" w:eastAsia="仿宋_GB2312" w:cs="仿宋_GB2312"/>
          <w:b/>
          <w:sz w:val="28"/>
          <w:szCs w:val="32"/>
          <w:highlight w:val="yellow"/>
        </w:rPr>
        <w:t>投标</w:t>
      </w:r>
      <w:r>
        <w:rPr>
          <w:rFonts w:ascii="仿宋_GB2312" w:hAnsi="仿宋_GB2312" w:eastAsia="仿宋_GB2312" w:cs="仿宋_GB2312"/>
          <w:b/>
          <w:sz w:val="28"/>
          <w:szCs w:val="32"/>
          <w:highlight w:val="yellow"/>
        </w:rPr>
        <w:t>。</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三、保证条款</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1、中标方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2.因中标方所供货物给招标方造成环保等其他方面相关损失，中标方需承担全部赔偿责任。</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四、交货期及运费</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交货期，自合同签订生效之日起</w:t>
      </w:r>
      <w:r>
        <w:rPr>
          <w:rFonts w:hint="eastAsia" w:ascii="仿宋_GB2312" w:hAnsi="仿宋_GB2312" w:eastAsia="仿宋_GB2312" w:cs="仿宋_GB2312"/>
          <w:sz w:val="28"/>
          <w:szCs w:val="32"/>
          <w:u w:val="single"/>
        </w:rPr>
        <w:t xml:space="preserve"> 20日</w:t>
      </w:r>
      <w:r>
        <w:rPr>
          <w:rFonts w:hint="eastAsia" w:ascii="仿宋_GB2312" w:hAnsi="仿宋_GB2312" w:eastAsia="仿宋_GB2312" w:cs="仿宋_GB2312"/>
          <w:sz w:val="28"/>
          <w:szCs w:val="32"/>
        </w:rPr>
        <w:t>。中标方负责到招标方的运输及费用。如逾期到货，按合同应按合同总值的20%支付违约金给买方，招标方可直接从货款中扣除。如招标方逾期付款，按合同标的金额千分之一/日支付违约金给卖方。</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五、有关知识产权</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六、售后服务、质量保证：售后服务事项在合同中进行约定。</w:t>
      </w:r>
    </w:p>
    <w:p>
      <w:pPr>
        <w:rPr>
          <w:rFonts w:ascii="仿宋_GB2312" w:hAnsi="仿宋_GB2312" w:eastAsia="仿宋_GB2312" w:cs="仿宋_GB2312"/>
          <w:sz w:val="28"/>
          <w:szCs w:val="32"/>
        </w:rPr>
      </w:pPr>
    </w:p>
    <w:p>
      <w:pPr>
        <w:spacing w:line="360" w:lineRule="auto"/>
        <w:ind w:right="70"/>
        <w:rPr>
          <w:rFonts w:ascii="仿宋" w:hAnsi="仿宋" w:eastAsia="仿宋" w:cs="仿宋"/>
          <w:b/>
          <w:color w:val="000000"/>
          <w:kern w:val="0"/>
          <w:sz w:val="32"/>
          <w:szCs w:val="32"/>
          <w:highlight w:val="yellow"/>
        </w:rPr>
      </w:pPr>
      <w:r>
        <w:rPr>
          <w:rFonts w:hint="eastAsia" w:ascii="仿宋" w:hAnsi="仿宋" w:eastAsia="仿宋" w:cs="仿宋"/>
          <w:b/>
          <w:color w:val="000000"/>
          <w:kern w:val="0"/>
          <w:sz w:val="32"/>
          <w:szCs w:val="32"/>
          <w:highlight w:val="yellow"/>
        </w:rPr>
        <w:t>注：</w:t>
      </w:r>
    </w:p>
    <w:p>
      <w:pPr>
        <w:widowControl/>
        <w:ind w:firstLine="643" w:firstLineChars="200"/>
        <w:rPr>
          <w:rFonts w:ascii="仿宋" w:hAnsi="仿宋" w:eastAsia="仿宋" w:cs="仿宋"/>
          <w:b/>
          <w:color w:val="000000"/>
          <w:kern w:val="0"/>
          <w:sz w:val="32"/>
          <w:szCs w:val="32"/>
        </w:rPr>
      </w:pPr>
      <w:r>
        <w:rPr>
          <w:rFonts w:hint="eastAsia" w:ascii="仿宋" w:hAnsi="仿宋" w:eastAsia="仿宋" w:cs="仿宋"/>
          <w:b/>
          <w:color w:val="000000"/>
          <w:kern w:val="0"/>
          <w:sz w:val="32"/>
          <w:szCs w:val="32"/>
          <w:highlight w:val="yellow"/>
        </w:rPr>
        <w:t>以下为合同模板，投标方参入即认可合同模板所有条款。</w:t>
      </w:r>
    </w:p>
    <w:p>
      <w:pPr>
        <w:snapToGrid w:val="0"/>
        <w:spacing w:beforeLines="100" w:afterLines="100" w:line="360" w:lineRule="auto"/>
        <w:ind w:right="-50" w:rightChars="-24"/>
        <w:jc w:val="center"/>
        <w:rPr>
          <w:rFonts w:ascii="仿宋" w:hAnsi="仿宋" w:eastAsia="仿宋" w:cs="仿宋"/>
          <w:b/>
          <w:bCs/>
          <w:sz w:val="36"/>
          <w:szCs w:val="36"/>
        </w:rPr>
      </w:pPr>
      <w:r>
        <w:rPr>
          <w:rFonts w:hint="eastAsia" w:ascii="仿宋" w:hAnsi="仿宋" w:eastAsia="仿宋" w:cs="仿宋"/>
          <w:b/>
          <w:bCs/>
          <w:sz w:val="36"/>
          <w:szCs w:val="36"/>
        </w:rPr>
        <w:t>XXX设备购销合同</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 xml:space="preserve">甲方（采购方）：山东金宝电子有限公司 </w:t>
      </w:r>
    </w:p>
    <w:p>
      <w:pPr>
        <w:adjustRightInd w:val="0"/>
        <w:snapToGrid w:val="0"/>
        <w:spacing w:line="360" w:lineRule="auto"/>
        <w:ind w:firstLine="562" w:firstLineChars="200"/>
      </w:pPr>
      <w:r>
        <w:rPr>
          <w:rFonts w:hint="eastAsia" w:ascii="仿宋" w:hAnsi="仿宋" w:eastAsia="仿宋" w:cs="仿宋"/>
          <w:b/>
          <w:sz w:val="28"/>
          <w:szCs w:val="28"/>
        </w:rPr>
        <w:t xml:space="preserve">                </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乙方（供货方）： XXX公司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经甲、乙双方友好协商，本着平等互利的原则，根据《中华人民共和国民法典》及相关法律的规定，就甲方向乙方购买以下设备达成如下协议：</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一、设备名称、规格型号、数量、单价及合同额：</w:t>
      </w:r>
    </w:p>
    <w:tbl>
      <w:tblPr>
        <w:tblStyle w:val="12"/>
        <w:tblW w:w="84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9"/>
        <w:gridCol w:w="1708"/>
        <w:gridCol w:w="784"/>
        <w:gridCol w:w="883"/>
        <w:gridCol w:w="1450"/>
        <w:gridCol w:w="1417"/>
        <w:gridCol w:w="14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5" w:hRule="atLeast"/>
          <w:jc w:val="center"/>
        </w:trPr>
        <w:tc>
          <w:tcPr>
            <w:tcW w:w="719"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序号</w:t>
            </w:r>
          </w:p>
        </w:tc>
        <w:tc>
          <w:tcPr>
            <w:tcW w:w="1708"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设备名称</w:t>
            </w:r>
          </w:p>
        </w:tc>
        <w:tc>
          <w:tcPr>
            <w:tcW w:w="784" w:type="dxa"/>
            <w:tcBorders>
              <w:tl2br w:val="nil"/>
              <w:tr2bl w:val="nil"/>
            </w:tcBorders>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单位</w:t>
            </w:r>
          </w:p>
        </w:tc>
        <w:tc>
          <w:tcPr>
            <w:tcW w:w="883"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数量</w:t>
            </w:r>
          </w:p>
        </w:tc>
        <w:tc>
          <w:tcPr>
            <w:tcW w:w="1450"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单价（元）</w:t>
            </w:r>
          </w:p>
        </w:tc>
        <w:tc>
          <w:tcPr>
            <w:tcW w:w="1417"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总价（元）</w:t>
            </w:r>
          </w:p>
        </w:tc>
        <w:tc>
          <w:tcPr>
            <w:tcW w:w="1452" w:type="dxa"/>
            <w:tcBorders>
              <w:tl2br w:val="nil"/>
              <w:tr2bl w:val="nil"/>
            </w:tcBorders>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92" w:hRule="atLeast"/>
          <w:jc w:val="center"/>
        </w:trPr>
        <w:tc>
          <w:tcPr>
            <w:tcW w:w="719"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w:t>
            </w:r>
          </w:p>
        </w:tc>
        <w:tc>
          <w:tcPr>
            <w:tcW w:w="1708"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p>
        </w:tc>
        <w:tc>
          <w:tcPr>
            <w:tcW w:w="784" w:type="dxa"/>
            <w:tcBorders>
              <w:tl2br w:val="nil"/>
              <w:tr2bl w:val="nil"/>
            </w:tcBorders>
            <w:vAlign w:val="center"/>
          </w:tcPr>
          <w:p>
            <w:pPr>
              <w:widowControl/>
              <w:spacing w:line="360" w:lineRule="auto"/>
              <w:jc w:val="center"/>
              <w:rPr>
                <w:rFonts w:ascii="仿宋" w:hAnsi="仿宋" w:eastAsia="仿宋" w:cs="仿宋"/>
                <w:sz w:val="24"/>
              </w:rPr>
            </w:pPr>
          </w:p>
        </w:tc>
        <w:tc>
          <w:tcPr>
            <w:tcW w:w="883"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50"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17"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52" w:type="dxa"/>
            <w:tcBorders>
              <w:tl2br w:val="nil"/>
              <w:tr2bl w:val="nil"/>
            </w:tcBorders>
          </w:tcPr>
          <w:p>
            <w:pPr>
              <w:spacing w:line="360" w:lineRule="auto"/>
              <w:jc w:val="center"/>
              <w:rPr>
                <w:rFonts w:ascii="仿宋" w:hAnsi="仿宋" w:eastAsia="仿宋" w:cs="仿宋"/>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20" w:hRule="atLeast"/>
          <w:jc w:val="center"/>
        </w:trPr>
        <w:tc>
          <w:tcPr>
            <w:tcW w:w="8413" w:type="dxa"/>
            <w:gridSpan w:val="7"/>
            <w:tcBorders>
              <w:tl2br w:val="nil"/>
              <w:tr2bl w:val="nil"/>
            </w:tcBorders>
            <w:vAlign w:val="center"/>
          </w:tcPr>
          <w:p>
            <w:pPr>
              <w:widowControl/>
              <w:spacing w:line="360" w:lineRule="auto"/>
              <w:rPr>
                <w:rFonts w:ascii="仿宋" w:hAnsi="仿宋" w:eastAsia="仿宋" w:cs="仿宋"/>
                <w:sz w:val="24"/>
              </w:rPr>
            </w:pPr>
            <w:r>
              <w:rPr>
                <w:rFonts w:hint="eastAsia" w:ascii="仿宋" w:hAnsi="仿宋" w:eastAsia="仿宋" w:cs="仿宋"/>
                <w:sz w:val="24"/>
              </w:rPr>
              <w:t xml:space="preserve">合计人民币（大写）：XXX  (￥:XX)   含XX增值税、安装调试费、运费等      </w:t>
            </w:r>
          </w:p>
        </w:tc>
      </w:tr>
    </w:tbl>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二、交货地点、时间、方式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1.交货地点：XX省XX市XX路XX号；</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2.交货时间：合同生效后，XX日之前货到甲方指定地点；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3.运输方式、运输责任及运输费用负担：乙方负责到甲方工厂的包装、装卸货、运输及保险费用。</w:t>
      </w:r>
    </w:p>
    <w:p>
      <w:pPr>
        <w:adjustRightInd w:val="0"/>
        <w:snapToGrid w:val="0"/>
        <w:spacing w:line="360" w:lineRule="auto"/>
        <w:ind w:firstLine="562" w:firstLineChars="200"/>
      </w:pPr>
      <w:r>
        <w:rPr>
          <w:rFonts w:hint="eastAsia" w:ascii="仿宋" w:hAnsi="仿宋" w:eastAsia="仿宋" w:cs="仿宋"/>
          <w:b/>
          <w:bCs/>
          <w:sz w:val="28"/>
          <w:szCs w:val="28"/>
        </w:rPr>
        <w:t>三、付款方式</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sz w:val="28"/>
          <w:szCs w:val="28"/>
        </w:rPr>
        <w:t>1.预付款：</w:t>
      </w:r>
      <w:r>
        <w:rPr>
          <w:rFonts w:hint="eastAsia" w:ascii="仿宋" w:hAnsi="仿宋" w:eastAsia="仿宋" w:cs="仿宋"/>
          <w:spacing w:val="-3"/>
          <w:sz w:val="28"/>
          <w:szCs w:val="28"/>
          <w:lang w:val="en-GB"/>
        </w:rPr>
        <w:t>签订合同，</w:t>
      </w:r>
      <w:r>
        <w:rPr>
          <w:rFonts w:hint="eastAsia" w:ascii="仿宋" w:hAnsi="仿宋" w:eastAsia="仿宋" w:cs="仿宋"/>
          <w:spacing w:val="-3"/>
          <w:sz w:val="28"/>
          <w:szCs w:val="28"/>
        </w:rPr>
        <w:t>甲方以银行承兑（6个月）支付乙方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做为预付款，即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 万元</w:t>
      </w:r>
      <w:r>
        <w:rPr>
          <w:rFonts w:hint="eastAsia" w:ascii="仿宋" w:hAnsi="仿宋" w:eastAsia="仿宋" w:cs="仿宋"/>
          <w:spacing w:val="-3"/>
          <w:sz w:val="28"/>
          <w:szCs w:val="28"/>
          <w:lang w:val="en-GB"/>
        </w:rPr>
        <w:t>整），</w:t>
      </w:r>
      <w:r>
        <w:rPr>
          <w:rFonts w:hint="eastAsia" w:ascii="仿宋" w:hAnsi="仿宋" w:eastAsia="仿宋" w:cs="仿宋"/>
          <w:spacing w:val="-3"/>
          <w:sz w:val="28"/>
          <w:szCs w:val="28"/>
        </w:rPr>
        <w:t>乙方10个日历日内开具等额的增值税发票交付甲方；</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2.发货款：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制作完成后，乙方提前10个日历日通知甲方，甲方</w:t>
      </w:r>
      <w:r>
        <w:rPr>
          <w:rFonts w:hint="eastAsia" w:ascii="仿宋" w:hAnsi="仿宋" w:eastAsia="仿宋" w:cs="仿宋"/>
          <w:spacing w:val="-3"/>
          <w:sz w:val="28"/>
          <w:szCs w:val="28"/>
          <w:lang w:val="en-GB"/>
        </w:rPr>
        <w:t>收到乙方开具的等额增值税专用发票后</w:t>
      </w:r>
      <w:r>
        <w:rPr>
          <w:rFonts w:hint="eastAsia" w:ascii="仿宋" w:hAnsi="仿宋" w:eastAsia="仿宋" w:cs="仿宋"/>
          <w:spacing w:val="-3"/>
          <w:sz w:val="28"/>
          <w:szCs w:val="28"/>
        </w:rPr>
        <w:t>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的款项，即</w:t>
      </w:r>
      <w:r>
        <w:rPr>
          <w:rFonts w:hint="eastAsia" w:ascii="仿宋" w:hAnsi="仿宋" w:eastAsia="仿宋" w:cs="仿宋"/>
          <w:sz w:val="28"/>
          <w:szCs w:val="28"/>
        </w:rPr>
        <w:t>RMB XX 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3.验收款：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安装调试完成，收到乙方开具的剩余全额增值税专用发票后，甲方30个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的款项，即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4.保固款：</w:t>
      </w:r>
      <w:r>
        <w:rPr>
          <w:rFonts w:hint="eastAsia" w:ascii="仿宋" w:hAnsi="仿宋" w:eastAsia="仿宋" w:cs="仿宋"/>
          <w:sz w:val="28"/>
          <w:szCs w:val="28"/>
        </w:rPr>
        <w:t>质保期期满后，双方确认无任何纠纷 30日历日内，</w:t>
      </w:r>
      <w:r>
        <w:rPr>
          <w:rFonts w:hint="eastAsia" w:ascii="仿宋" w:hAnsi="仿宋" w:eastAsia="仿宋" w:cs="仿宋"/>
          <w:spacing w:val="-3"/>
          <w:sz w:val="28"/>
          <w:szCs w:val="28"/>
        </w:rPr>
        <w:t>甲方支付乙方</w:t>
      </w:r>
      <w:r>
        <w:rPr>
          <w:rFonts w:hint="eastAsia" w:ascii="仿宋" w:hAnsi="仿宋" w:eastAsia="仿宋" w:cs="仿宋"/>
          <w:sz w:val="28"/>
          <w:szCs w:val="28"/>
        </w:rPr>
        <w:t>合同总价的XX %的款项</w:t>
      </w:r>
      <w:r>
        <w:rPr>
          <w:rFonts w:hint="eastAsia" w:ascii="仿宋" w:hAnsi="仿宋" w:eastAsia="仿宋" w:cs="仿宋"/>
          <w:spacing w:val="-3"/>
          <w:sz w:val="28"/>
          <w:szCs w:val="28"/>
          <w:lang w:val="en-GB"/>
        </w:rPr>
        <w:t>，即</w:t>
      </w:r>
      <w:r>
        <w:rPr>
          <w:rFonts w:hint="eastAsia" w:ascii="仿宋" w:hAnsi="仿宋" w:eastAsia="仿宋" w:cs="仿宋"/>
          <w:sz w:val="28"/>
          <w:szCs w:val="28"/>
        </w:rPr>
        <w:t>RMBXX元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人民币XX万元</w:t>
      </w:r>
      <w:r>
        <w:rPr>
          <w:rFonts w:hint="eastAsia" w:ascii="仿宋" w:hAnsi="仿宋" w:eastAsia="仿宋" w:cs="仿宋"/>
          <w:spacing w:val="-3"/>
          <w:sz w:val="28"/>
          <w:szCs w:val="28"/>
          <w:lang w:val="en-GB"/>
        </w:rPr>
        <w:t>整）。</w:t>
      </w:r>
    </w:p>
    <w:p>
      <w:pPr>
        <w:pStyle w:val="11"/>
        <w:ind w:firstLine="550" w:firstLineChars="200"/>
        <w:rPr>
          <w:b/>
          <w:bCs/>
          <w:u w:val="single"/>
        </w:rPr>
      </w:pPr>
      <w:r>
        <w:rPr>
          <w:rFonts w:hint="eastAsia" w:ascii="仿宋" w:hAnsi="仿宋" w:eastAsia="仿宋" w:cs="仿宋"/>
          <w:b/>
          <w:bCs/>
          <w:spacing w:val="-3"/>
          <w:sz w:val="28"/>
          <w:szCs w:val="28"/>
          <w:highlight w:val="yellow"/>
          <w:u w:val="single"/>
        </w:rPr>
        <w:t>（以上付款方式根据中标通知书）</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四、安装、调试和验收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1.乙方负责设备安装及调试，负责卸车、吊装、搬运、报检及产生的费用；甲方负责水、电供应及产生的费用（</w:t>
      </w:r>
      <w:r>
        <w:rPr>
          <w:rFonts w:hint="eastAsia" w:ascii="仿宋" w:hAnsi="仿宋" w:eastAsia="仿宋" w:cs="仿宋"/>
          <w:b/>
          <w:bCs/>
          <w:sz w:val="28"/>
          <w:szCs w:val="28"/>
          <w:u w:val="single"/>
        </w:rPr>
        <w:t>或根据洽谈</w:t>
      </w:r>
      <w:r>
        <w:rPr>
          <w:rFonts w:hint="eastAsia" w:ascii="仿宋" w:hAnsi="仿宋" w:eastAsia="仿宋" w:cs="仿宋"/>
          <w:sz w:val="28"/>
          <w:szCs w:val="28"/>
        </w:rPr>
        <w:t>），且指定接口位置；</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2.安装调试时间：至XX年XX月XX日前安装及调试完成，甲方配合乙方调试；</w:t>
      </w:r>
    </w:p>
    <w:p>
      <w:pPr>
        <w:adjustRightInd w:val="0"/>
        <w:snapToGrid w:val="0"/>
        <w:spacing w:line="360" w:lineRule="auto"/>
        <w:ind w:firstLine="560" w:firstLineChars="200"/>
        <w:rPr>
          <w:rFonts w:ascii="仿宋" w:hAnsi="仿宋" w:eastAsia="仿宋" w:cs="仿宋"/>
        </w:rPr>
      </w:pPr>
      <w:r>
        <w:rPr>
          <w:rFonts w:hint="eastAsia" w:ascii="仿宋" w:hAnsi="仿宋" w:eastAsia="仿宋" w:cs="仿宋"/>
          <w:sz w:val="28"/>
          <w:szCs w:val="28"/>
        </w:rPr>
        <w:t>3.验收标准：双方共同依据设备技术标准进行设备的验收；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4.乙方可将剩余材料、自带用于调试的工具带出厂区。</w:t>
      </w:r>
    </w:p>
    <w:p>
      <w:pPr>
        <w:adjustRightInd w:val="0"/>
        <w:snapToGrid w:val="0"/>
        <w:spacing w:line="360" w:lineRule="auto"/>
        <w:ind w:firstLine="562" w:firstLineChars="200"/>
        <w:rPr>
          <w:rFonts w:ascii="仿宋" w:hAnsi="仿宋" w:eastAsia="仿宋" w:cs="仿宋"/>
        </w:rPr>
      </w:pPr>
      <w:r>
        <w:rPr>
          <w:rFonts w:hint="eastAsia" w:ascii="仿宋" w:hAnsi="仿宋" w:eastAsia="仿宋" w:cs="仿宋"/>
          <w:b/>
          <w:bCs/>
          <w:sz w:val="28"/>
          <w:szCs w:val="28"/>
        </w:rPr>
        <w:t>五、设备技术标准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1.以《技术附件》文件为准（</w:t>
      </w:r>
      <w:r>
        <w:rPr>
          <w:rFonts w:hint="eastAsia" w:ascii="仿宋" w:hAnsi="仿宋" w:eastAsia="仿宋" w:cs="仿宋"/>
          <w:b/>
          <w:bCs/>
          <w:sz w:val="28"/>
          <w:szCs w:val="28"/>
          <w:u w:val="single"/>
        </w:rPr>
        <w:t>若无技术附件，此项可列入技术要求</w:t>
      </w:r>
      <w:r>
        <w:rPr>
          <w:rFonts w:hint="eastAsia" w:ascii="仿宋" w:hAnsi="仿宋" w:eastAsia="仿宋" w:cs="仿宋"/>
          <w:sz w:val="28"/>
          <w:szCs w:val="28"/>
        </w:rPr>
        <w:t>），乙方必须保证合同标的产品的质量符合相关参数的要求，标的产品所使用的零配件需与规定的一致，否则按违约处理；</w:t>
      </w:r>
    </w:p>
    <w:p>
      <w:pPr>
        <w:spacing w:line="360" w:lineRule="auto"/>
        <w:ind w:firstLine="560" w:firstLineChars="200"/>
        <w:rPr>
          <w:rFonts w:ascii="仿宋" w:hAnsi="仿宋" w:eastAsia="仿宋" w:cs="仿宋"/>
        </w:rPr>
      </w:pPr>
      <w:r>
        <w:rPr>
          <w:rFonts w:hint="eastAsia" w:ascii="仿宋" w:hAnsi="仿宋" w:eastAsia="仿宋" w:cs="仿宋"/>
          <w:sz w:val="28"/>
          <w:szCs w:val="28"/>
        </w:rPr>
        <w:t>2.乙方保证所交付的设备排放标准满足国家及甲方所在地的最新环保标准，否则按违约处理。</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六、培训与售后服务</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1.乙方负责免费对甲方技师的技术培训，并能使甲方技师达到独立操作及维护保养能力的水平，甲方指定机械、电气技师的具体人员，参与设备安装、调试的过程；</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2.保固期为设备验收合格后的12个月（以甲方出具的验收单为准）；</w:t>
      </w:r>
    </w:p>
    <w:p>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七、安全事项</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八、违约责任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1.非甲方原因，乙方未按约定时间完成设备交付、安装调试，每迟延一天向甲方支付合同总金额千分之五的违约金，甲方有权直接解除合同而无需承担任何责任；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九、不可抗力</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十、知识产权</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1.乙方保证：设备不存在任何知识产权、所有权权利瑕疵，该设备及设备的销售不存在知识产权、所有权侵权行为。</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2.侵权保证：当出现乙方设备及设备销售知识产权侵权情形（包括因甲方使用该设备而构成对他人知识产权侵犯为由被提起诉讼、仲裁或其它赔偿请求时），乙方应承担全部赔偿责任。</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十一、争议解决条款</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本合同履约地：山东省招远市</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履行本合同的过程中如发生争议，双方应通过友好协商解决；协商不成，由合同履约地人民法院裁决。</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十二、 反贿赂</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乙方承诺坚决杜绝向甲方业务人员及亲属赠送财物的贿赂行为，若有此行为，乙方</w:t>
      </w:r>
      <w:r>
        <w:rPr>
          <w:rFonts w:hint="eastAsia" w:ascii="仿宋" w:hAnsi="仿宋" w:eastAsia="仿宋" w:cs="仿宋"/>
          <w:color w:val="000000"/>
          <w:sz w:val="28"/>
          <w:szCs w:val="28"/>
        </w:rPr>
        <w:t>同意按合同总额的50%</w:t>
      </w:r>
      <w:r>
        <w:rPr>
          <w:rFonts w:hint="eastAsia" w:ascii="仿宋" w:hAnsi="仿宋" w:eastAsia="仿宋" w:cs="仿宋"/>
          <w:sz w:val="28"/>
          <w:szCs w:val="28"/>
        </w:rPr>
        <w:t>，向甲方支付违约金并赔偿甲方损失，甲方有权从货款中直接扣除、解除合同并取消供货商资格。</w:t>
      </w:r>
    </w:p>
    <w:p>
      <w:pPr>
        <w:numPr>
          <w:ilvl w:val="0"/>
          <w:numId w:val="7"/>
        </w:numPr>
        <w:adjustRightInd w:val="0"/>
        <w:snapToGrid w:val="0"/>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保密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十四、其它</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1.本合同一式3份，甲方2份，乙方1份，自双方签字盖章之日起生效；</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2.所有附件均须双方签字盖章，为本合同不可分割的一部分；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3.任何对本合同的修改和/或补充，必须以书面形式经双方共同签字盖章后，方具有法律效力。</w:t>
      </w:r>
    </w:p>
    <w:p>
      <w:pPr>
        <w:spacing w:line="360" w:lineRule="auto"/>
        <w:rPr>
          <w:rFonts w:ascii="仿宋" w:hAnsi="仿宋" w:eastAsia="仿宋" w:cs="仿宋"/>
          <w:sz w:val="28"/>
          <w:szCs w:val="28"/>
        </w:rPr>
      </w:pPr>
      <w:r>
        <w:rPr>
          <w:rFonts w:hint="eastAsia" w:ascii="仿宋" w:hAnsi="仿宋" w:eastAsia="仿宋" w:cs="仿宋"/>
          <w:sz w:val="28"/>
          <w:szCs w:val="28"/>
        </w:rPr>
        <w:t>甲方：山东金宝电子有限公司（章） 乙方：XX</w:t>
      </w:r>
      <w:r>
        <w:rPr>
          <w:rFonts w:hint="eastAsia" w:ascii="仿宋" w:hAnsi="仿宋" w:eastAsia="仿宋" w:cs="仿宋"/>
          <w:sz w:val="28"/>
          <w:szCs w:val="28"/>
        </w:rPr>
        <w:br w:type="textWrapping"/>
      </w:r>
      <w:r>
        <w:rPr>
          <w:rFonts w:hint="eastAsia" w:ascii="仿宋" w:hAnsi="仿宋" w:eastAsia="仿宋" w:cs="仿宋"/>
          <w:sz w:val="28"/>
          <w:szCs w:val="28"/>
        </w:rPr>
        <w:t>单位地址：招远市国大路268号      单位地址：XX</w:t>
      </w:r>
      <w:r>
        <w:rPr>
          <w:rFonts w:hint="eastAsia" w:ascii="仿宋" w:hAnsi="仿宋" w:eastAsia="仿宋" w:cs="仿宋"/>
          <w:sz w:val="28"/>
          <w:szCs w:val="28"/>
        </w:rPr>
        <w:br w:type="textWrapping"/>
      </w:r>
      <w:r>
        <w:rPr>
          <w:rFonts w:hint="eastAsia" w:ascii="仿宋" w:hAnsi="仿宋" w:eastAsia="仿宋" w:cs="仿宋"/>
          <w:sz w:val="28"/>
          <w:szCs w:val="28"/>
        </w:rPr>
        <w:t>委托代理人签字：                 委托代理人签字：</w:t>
      </w:r>
    </w:p>
    <w:p>
      <w:pPr>
        <w:spacing w:line="360" w:lineRule="auto"/>
        <w:rPr>
          <w:rFonts w:ascii="仿宋" w:hAnsi="仿宋" w:eastAsia="仿宋" w:cs="仿宋"/>
          <w:sz w:val="28"/>
          <w:szCs w:val="28"/>
        </w:rPr>
      </w:pPr>
      <w:r>
        <w:rPr>
          <w:rFonts w:hint="eastAsia" w:ascii="仿宋" w:hAnsi="仿宋" w:eastAsia="仿宋" w:cs="仿宋"/>
          <w:sz w:val="28"/>
          <w:szCs w:val="28"/>
        </w:rPr>
        <w:t>签字日期：                       签字日期：</w:t>
      </w:r>
    </w:p>
    <w:p>
      <w:pPr>
        <w:spacing w:line="360" w:lineRule="auto"/>
        <w:rPr>
          <w:rFonts w:ascii="仿宋" w:hAnsi="仿宋" w:eastAsia="仿宋" w:cs="仿宋"/>
          <w:sz w:val="28"/>
          <w:szCs w:val="28"/>
        </w:rPr>
      </w:pPr>
      <w:r>
        <w:rPr>
          <w:rFonts w:hint="eastAsia" w:ascii="仿宋" w:hAnsi="仿宋" w:eastAsia="仿宋" w:cs="仿宋"/>
          <w:sz w:val="28"/>
          <w:szCs w:val="28"/>
        </w:rPr>
        <w:t>电 话：                           电 话：</w:t>
      </w:r>
      <w:r>
        <w:rPr>
          <w:rFonts w:hint="eastAsia" w:ascii="仿宋" w:hAnsi="仿宋" w:eastAsia="仿宋" w:cs="仿宋"/>
          <w:sz w:val="28"/>
          <w:szCs w:val="28"/>
        </w:rPr>
        <w:br w:type="textWrapping"/>
      </w:r>
      <w:r>
        <w:rPr>
          <w:rFonts w:hint="eastAsia" w:ascii="仿宋" w:hAnsi="仿宋" w:eastAsia="仿宋" w:cs="仿宋"/>
          <w:sz w:val="28"/>
          <w:szCs w:val="28"/>
        </w:rPr>
        <w:t>开户银行：工商银行招远支行       开户银行：</w:t>
      </w:r>
    </w:p>
    <w:p>
      <w:pPr>
        <w:spacing w:line="360" w:lineRule="auto"/>
        <w:rPr>
          <w:rFonts w:ascii="仿宋" w:hAnsi="仿宋" w:eastAsia="仿宋" w:cs="仿宋"/>
          <w:sz w:val="28"/>
          <w:szCs w:val="28"/>
        </w:rPr>
      </w:pPr>
      <w:r>
        <w:rPr>
          <w:rFonts w:hint="eastAsia" w:ascii="仿宋" w:hAnsi="仿宋" w:eastAsia="仿宋" w:cs="仿宋"/>
          <w:sz w:val="28"/>
          <w:szCs w:val="28"/>
        </w:rPr>
        <w:t>账 号：1606 0217 0902 4200 204    账 号：</w:t>
      </w:r>
    </w:p>
    <w:p>
      <w:pPr>
        <w:spacing w:line="360" w:lineRule="auto"/>
        <w:rPr>
          <w:rFonts w:ascii="仿宋" w:hAnsi="仿宋" w:eastAsia="仿宋" w:cs="仿宋"/>
          <w:sz w:val="28"/>
          <w:szCs w:val="28"/>
        </w:rPr>
      </w:pPr>
      <w:r>
        <w:rPr>
          <w:rFonts w:hint="eastAsia" w:ascii="仿宋" w:hAnsi="仿宋" w:eastAsia="仿宋" w:cs="仿宋"/>
          <w:sz w:val="28"/>
          <w:szCs w:val="28"/>
        </w:rPr>
        <w:t>税 号：9137 0000 6134 2205 47     税 号：</w:t>
      </w:r>
    </w:p>
    <w:p>
      <w:pPr>
        <w:pStyle w:val="11"/>
        <w:ind w:firstLine="0" w:firstLineChars="0"/>
      </w:pPr>
    </w:p>
    <w:p>
      <w:pPr>
        <w:pStyle w:val="6"/>
        <w:rPr>
          <w:lang w:eastAsia="zh-CN"/>
        </w:rPr>
      </w:pPr>
    </w:p>
    <w:p>
      <w:pPr>
        <w:adjustRightInd w:val="0"/>
        <w:snapToGrid w:val="0"/>
        <w:spacing w:line="360" w:lineRule="auto"/>
        <w:ind w:firstLine="560" w:firstLineChars="200"/>
        <w:rPr>
          <w:rFonts w:ascii="仿宋" w:hAnsi="仿宋" w:eastAsia="仿宋" w:cs="仿宋"/>
          <w:sz w:val="28"/>
          <w:szCs w:val="28"/>
        </w:rPr>
      </w:pPr>
    </w:p>
    <w:p>
      <w:pPr>
        <w:adjustRightInd w:val="0"/>
        <w:snapToGrid w:val="0"/>
        <w:spacing w:line="360" w:lineRule="auto"/>
        <w:rPr>
          <w:szCs w:val="21"/>
        </w:rPr>
      </w:pPr>
    </w:p>
    <w:p>
      <w:pPr>
        <w:pStyle w:val="11"/>
        <w:ind w:firstLine="210"/>
        <w:rPr>
          <w:szCs w:val="21"/>
        </w:rPr>
      </w:pPr>
    </w:p>
    <w:p>
      <w:pPr>
        <w:pStyle w:val="11"/>
        <w:ind w:firstLine="0" w:firstLineChars="0"/>
        <w:rPr>
          <w:szCs w:val="21"/>
        </w:rPr>
      </w:pPr>
    </w:p>
    <w:p>
      <w:pPr>
        <w:pStyle w:val="11"/>
        <w:ind w:firstLine="321"/>
        <w:jc w:val="center"/>
        <w:rPr>
          <w:b/>
          <w:bCs/>
          <w:sz w:val="32"/>
          <w:szCs w:val="32"/>
        </w:rPr>
      </w:pPr>
      <w:r>
        <w:rPr>
          <w:rFonts w:hint="eastAsia"/>
          <w:b/>
          <w:bCs/>
          <w:sz w:val="32"/>
          <w:szCs w:val="32"/>
        </w:rPr>
        <w:t>技术附件</w:t>
      </w:r>
    </w:p>
    <w:p>
      <w:pPr>
        <w:pStyle w:val="11"/>
        <w:numPr>
          <w:ilvl w:val="0"/>
          <w:numId w:val="8"/>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技术要求</w:t>
      </w:r>
    </w:p>
    <w:p>
      <w:pPr>
        <w:pStyle w:val="11"/>
        <w:numPr>
          <w:ilvl w:val="0"/>
          <w:numId w:val="8"/>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设备或布置图纸（若有）</w:t>
      </w:r>
    </w:p>
    <w:p>
      <w:pPr>
        <w:pStyle w:val="11"/>
        <w:numPr>
          <w:ilvl w:val="0"/>
          <w:numId w:val="8"/>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以下空白</w:t>
      </w: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r>
        <w:rPr>
          <w:rFonts w:hint="eastAsia" w:ascii="仿宋" w:hAnsi="仿宋" w:eastAsia="仿宋" w:cs="仿宋"/>
          <w:b/>
          <w:bCs/>
          <w:sz w:val="28"/>
          <w:szCs w:val="28"/>
        </w:rPr>
        <w:t>甲方合同章                               乙方合同章</w:t>
      </w:r>
    </w:p>
    <w:p>
      <w:pPr>
        <w:rPr>
          <w:rFonts w:ascii="黑体" w:hAnsi="黑体" w:eastAsia="黑体" w:cs="仿宋_GB2312"/>
          <w:sz w:val="32"/>
          <w:szCs w:val="32"/>
        </w:rPr>
      </w:pPr>
    </w:p>
    <w:sectPr>
      <w:footerReference r:id="rId3" w:type="default"/>
      <w:pgSz w:w="11906" w:h="16838"/>
      <w:pgMar w:top="1134" w:right="1080" w:bottom="1134"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docPartObj>
        <w:docPartGallery w:val="autotext"/>
      </w:docPartObj>
    </w:sdtPr>
    <w:sdtContent>
      <w:p>
        <w:pPr>
          <w:pStyle w:val="8"/>
          <w:jc w:val="center"/>
        </w:pPr>
        <w:r>
          <w:fldChar w:fldCharType="begin"/>
        </w:r>
        <w:r>
          <w:instrText xml:space="preserve">PAGE   \* MERGEFORMAT</w:instrText>
        </w:r>
        <w:r>
          <w:fldChar w:fldCharType="separate"/>
        </w:r>
        <w:r>
          <w:rPr>
            <w:lang w:val="zh-CN"/>
          </w:rPr>
          <w:t>3</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0CB2AABC"/>
    <w:multiLevelType w:val="singleLevel"/>
    <w:tmpl w:val="0CB2AABC"/>
    <w:lvl w:ilvl="0" w:tentative="0">
      <w:start w:val="1"/>
      <w:numFmt w:val="decimal"/>
      <w:lvlText w:val="%1."/>
      <w:lvlJc w:val="left"/>
      <w:pPr>
        <w:tabs>
          <w:tab w:val="left" w:pos="312"/>
        </w:tabs>
      </w:pPr>
    </w:lvl>
  </w:abstractNum>
  <w:abstractNum w:abstractNumId="2">
    <w:nsid w:val="13B13096"/>
    <w:multiLevelType w:val="multilevel"/>
    <w:tmpl w:val="13B13096"/>
    <w:lvl w:ilvl="0" w:tentative="0">
      <w:start w:val="1"/>
      <w:numFmt w:val="japaneseCounting"/>
      <w:lvlText w:val="%1、"/>
      <w:lvlJc w:val="left"/>
      <w:pPr>
        <w:ind w:left="1440" w:hanging="720"/>
      </w:pPr>
      <w:rPr>
        <w:rFonts w:hint="default"/>
        <w:b/>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39F847BF"/>
    <w:multiLevelType w:val="singleLevel"/>
    <w:tmpl w:val="39F847BF"/>
    <w:lvl w:ilvl="0" w:tentative="0">
      <w:start w:val="13"/>
      <w:numFmt w:val="chineseCounting"/>
      <w:suff w:val="nothing"/>
      <w:lvlText w:val="%1、"/>
      <w:lvlJc w:val="left"/>
      <w:rPr>
        <w:rFonts w:hint="eastAsia"/>
      </w:rPr>
    </w:lvl>
  </w:abstractNum>
  <w:abstractNum w:abstractNumId="5">
    <w:nsid w:val="5AF4EEE7"/>
    <w:multiLevelType w:val="singleLevel"/>
    <w:tmpl w:val="5AF4EEE7"/>
    <w:lvl w:ilvl="0" w:tentative="0">
      <w:start w:val="1"/>
      <w:numFmt w:val="chineseCounting"/>
      <w:suff w:val="nothing"/>
      <w:lvlText w:val="%1、"/>
      <w:lvlJc w:val="left"/>
    </w:lvl>
  </w:abstractNum>
  <w:abstractNum w:abstractNumId="6">
    <w:nsid w:val="5AF4F296"/>
    <w:multiLevelType w:val="singleLevel"/>
    <w:tmpl w:val="5AF4F296"/>
    <w:lvl w:ilvl="0" w:tentative="0">
      <w:start w:val="1"/>
      <w:numFmt w:val="decimal"/>
      <w:suff w:val="nothing"/>
      <w:lvlText w:val="%1、"/>
      <w:lvlJc w:val="left"/>
    </w:lvl>
  </w:abstractNum>
  <w:abstractNum w:abstractNumId="7">
    <w:nsid w:val="5AF4F74F"/>
    <w:multiLevelType w:val="singleLevel"/>
    <w:tmpl w:val="5AF4F74F"/>
    <w:lvl w:ilvl="0" w:tentative="0">
      <w:start w:val="2"/>
      <w:numFmt w:val="decimal"/>
      <w:suff w:val="nothing"/>
      <w:lvlText w:val="%1、"/>
      <w:lvlJc w:val="left"/>
    </w:lvl>
  </w:abstractNum>
  <w:num w:numId="1">
    <w:abstractNumId w:val="2"/>
  </w:num>
  <w:num w:numId="2">
    <w:abstractNumId w:val="0"/>
  </w:num>
  <w:num w:numId="3">
    <w:abstractNumId w:val="5"/>
  </w:num>
  <w:num w:numId="4">
    <w:abstractNumId w:val="6"/>
  </w:num>
  <w:num w:numId="5">
    <w:abstractNumId w:val="7"/>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M1NTQ1MjI2ZjFiOTc0MWZkMmM0Yjk2MGI5NDNiZjEifQ=="/>
  </w:docVars>
  <w:rsids>
    <w:rsidRoot w:val="14D70820"/>
    <w:rsid w:val="000016AB"/>
    <w:rsid w:val="00010475"/>
    <w:rsid w:val="000136F4"/>
    <w:rsid w:val="000140A9"/>
    <w:rsid w:val="0002639C"/>
    <w:rsid w:val="00027922"/>
    <w:rsid w:val="00036F46"/>
    <w:rsid w:val="000400EC"/>
    <w:rsid w:val="000448D3"/>
    <w:rsid w:val="000668E7"/>
    <w:rsid w:val="00073964"/>
    <w:rsid w:val="00082C71"/>
    <w:rsid w:val="00085DEC"/>
    <w:rsid w:val="000A04FB"/>
    <w:rsid w:val="000A0DA5"/>
    <w:rsid w:val="000A36E6"/>
    <w:rsid w:val="000C6612"/>
    <w:rsid w:val="000D54A9"/>
    <w:rsid w:val="000F1A23"/>
    <w:rsid w:val="000F2FB0"/>
    <w:rsid w:val="0010092D"/>
    <w:rsid w:val="001217FC"/>
    <w:rsid w:val="0013572F"/>
    <w:rsid w:val="00142A98"/>
    <w:rsid w:val="0015334E"/>
    <w:rsid w:val="00153B2F"/>
    <w:rsid w:val="001544D9"/>
    <w:rsid w:val="00177105"/>
    <w:rsid w:val="001815FF"/>
    <w:rsid w:val="001A5717"/>
    <w:rsid w:val="001C7E12"/>
    <w:rsid w:val="001D0E12"/>
    <w:rsid w:val="001D6975"/>
    <w:rsid w:val="001E6B98"/>
    <w:rsid w:val="001F3AB8"/>
    <w:rsid w:val="001F5358"/>
    <w:rsid w:val="001F6B53"/>
    <w:rsid w:val="002104F4"/>
    <w:rsid w:val="00210924"/>
    <w:rsid w:val="0021096D"/>
    <w:rsid w:val="002211E3"/>
    <w:rsid w:val="0022225D"/>
    <w:rsid w:val="00232D13"/>
    <w:rsid w:val="00242018"/>
    <w:rsid w:val="002427B8"/>
    <w:rsid w:val="00264A49"/>
    <w:rsid w:val="002A0CA1"/>
    <w:rsid w:val="002B1690"/>
    <w:rsid w:val="002D2480"/>
    <w:rsid w:val="002D27AF"/>
    <w:rsid w:val="002E04CD"/>
    <w:rsid w:val="002F48A7"/>
    <w:rsid w:val="002F5ABB"/>
    <w:rsid w:val="00306EC9"/>
    <w:rsid w:val="00311848"/>
    <w:rsid w:val="0031742A"/>
    <w:rsid w:val="0034629D"/>
    <w:rsid w:val="00353AE1"/>
    <w:rsid w:val="00355526"/>
    <w:rsid w:val="00360FD3"/>
    <w:rsid w:val="00363C63"/>
    <w:rsid w:val="003761A2"/>
    <w:rsid w:val="00385165"/>
    <w:rsid w:val="00395CFB"/>
    <w:rsid w:val="003A42FB"/>
    <w:rsid w:val="003E7C96"/>
    <w:rsid w:val="003F2FFF"/>
    <w:rsid w:val="003F5695"/>
    <w:rsid w:val="00401E48"/>
    <w:rsid w:val="00420A7C"/>
    <w:rsid w:val="00434F86"/>
    <w:rsid w:val="00442BA8"/>
    <w:rsid w:val="004452CC"/>
    <w:rsid w:val="00447816"/>
    <w:rsid w:val="00481206"/>
    <w:rsid w:val="004815E2"/>
    <w:rsid w:val="0048716E"/>
    <w:rsid w:val="00491715"/>
    <w:rsid w:val="00496BF6"/>
    <w:rsid w:val="004C1FC6"/>
    <w:rsid w:val="004D7CF2"/>
    <w:rsid w:val="004E2FEF"/>
    <w:rsid w:val="004E4C85"/>
    <w:rsid w:val="004E65D5"/>
    <w:rsid w:val="004F2EB8"/>
    <w:rsid w:val="005004FF"/>
    <w:rsid w:val="00515A96"/>
    <w:rsid w:val="0053237F"/>
    <w:rsid w:val="00532B15"/>
    <w:rsid w:val="00543389"/>
    <w:rsid w:val="00544194"/>
    <w:rsid w:val="005B5982"/>
    <w:rsid w:val="005B5E50"/>
    <w:rsid w:val="005D1CFE"/>
    <w:rsid w:val="005D32F2"/>
    <w:rsid w:val="005D5885"/>
    <w:rsid w:val="005E2E79"/>
    <w:rsid w:val="005E6B4B"/>
    <w:rsid w:val="00623702"/>
    <w:rsid w:val="00624F66"/>
    <w:rsid w:val="00632C35"/>
    <w:rsid w:val="00641833"/>
    <w:rsid w:val="00643949"/>
    <w:rsid w:val="00655BEE"/>
    <w:rsid w:val="00663003"/>
    <w:rsid w:val="00670B15"/>
    <w:rsid w:val="00671045"/>
    <w:rsid w:val="00673247"/>
    <w:rsid w:val="00674491"/>
    <w:rsid w:val="00684B2C"/>
    <w:rsid w:val="0069446D"/>
    <w:rsid w:val="006A6992"/>
    <w:rsid w:val="006B2553"/>
    <w:rsid w:val="006C1E9F"/>
    <w:rsid w:val="006D6272"/>
    <w:rsid w:val="006F2E9D"/>
    <w:rsid w:val="006F3A14"/>
    <w:rsid w:val="006F569A"/>
    <w:rsid w:val="007106C3"/>
    <w:rsid w:val="00711421"/>
    <w:rsid w:val="00721C4F"/>
    <w:rsid w:val="00722FE0"/>
    <w:rsid w:val="0074530B"/>
    <w:rsid w:val="00746246"/>
    <w:rsid w:val="007576FD"/>
    <w:rsid w:val="00764464"/>
    <w:rsid w:val="00770C6D"/>
    <w:rsid w:val="0077320F"/>
    <w:rsid w:val="00773C9A"/>
    <w:rsid w:val="007858B7"/>
    <w:rsid w:val="007A3297"/>
    <w:rsid w:val="007A7E3F"/>
    <w:rsid w:val="007B17D6"/>
    <w:rsid w:val="007C1F5B"/>
    <w:rsid w:val="007C5761"/>
    <w:rsid w:val="007D3EC9"/>
    <w:rsid w:val="007D5E12"/>
    <w:rsid w:val="007F32AC"/>
    <w:rsid w:val="00807D12"/>
    <w:rsid w:val="00810526"/>
    <w:rsid w:val="0081621E"/>
    <w:rsid w:val="008269DC"/>
    <w:rsid w:val="00877824"/>
    <w:rsid w:val="008840A4"/>
    <w:rsid w:val="00891C45"/>
    <w:rsid w:val="00891DA5"/>
    <w:rsid w:val="00894F8F"/>
    <w:rsid w:val="0089579B"/>
    <w:rsid w:val="008C1FCD"/>
    <w:rsid w:val="008C4105"/>
    <w:rsid w:val="008F7671"/>
    <w:rsid w:val="00910DBB"/>
    <w:rsid w:val="00912E27"/>
    <w:rsid w:val="009164F6"/>
    <w:rsid w:val="00924D21"/>
    <w:rsid w:val="0092669F"/>
    <w:rsid w:val="0093535F"/>
    <w:rsid w:val="0095248A"/>
    <w:rsid w:val="00953758"/>
    <w:rsid w:val="00957600"/>
    <w:rsid w:val="00963A40"/>
    <w:rsid w:val="009650B7"/>
    <w:rsid w:val="00992878"/>
    <w:rsid w:val="009B67B8"/>
    <w:rsid w:val="009D5B70"/>
    <w:rsid w:val="009D6632"/>
    <w:rsid w:val="009E1157"/>
    <w:rsid w:val="009E1A4D"/>
    <w:rsid w:val="009F5CA6"/>
    <w:rsid w:val="00A156D3"/>
    <w:rsid w:val="00A23F9A"/>
    <w:rsid w:val="00A37EC4"/>
    <w:rsid w:val="00A550B3"/>
    <w:rsid w:val="00A6047A"/>
    <w:rsid w:val="00A65AC5"/>
    <w:rsid w:val="00A72CEF"/>
    <w:rsid w:val="00A77C00"/>
    <w:rsid w:val="00A80462"/>
    <w:rsid w:val="00A96092"/>
    <w:rsid w:val="00AA2270"/>
    <w:rsid w:val="00AA37F6"/>
    <w:rsid w:val="00AC0A0D"/>
    <w:rsid w:val="00AD3E33"/>
    <w:rsid w:val="00AD5651"/>
    <w:rsid w:val="00AE4574"/>
    <w:rsid w:val="00AE7E20"/>
    <w:rsid w:val="00B02199"/>
    <w:rsid w:val="00B02A04"/>
    <w:rsid w:val="00B10A69"/>
    <w:rsid w:val="00B12AF1"/>
    <w:rsid w:val="00B142FC"/>
    <w:rsid w:val="00B14D77"/>
    <w:rsid w:val="00B301FB"/>
    <w:rsid w:val="00B30B3D"/>
    <w:rsid w:val="00B3298E"/>
    <w:rsid w:val="00B37251"/>
    <w:rsid w:val="00B37A75"/>
    <w:rsid w:val="00B637ED"/>
    <w:rsid w:val="00B7015D"/>
    <w:rsid w:val="00B7152E"/>
    <w:rsid w:val="00B75E47"/>
    <w:rsid w:val="00B858A1"/>
    <w:rsid w:val="00BE0350"/>
    <w:rsid w:val="00BE2C08"/>
    <w:rsid w:val="00C0034E"/>
    <w:rsid w:val="00C035CB"/>
    <w:rsid w:val="00C327A2"/>
    <w:rsid w:val="00C354EF"/>
    <w:rsid w:val="00C47C00"/>
    <w:rsid w:val="00C54657"/>
    <w:rsid w:val="00C56EFB"/>
    <w:rsid w:val="00C61559"/>
    <w:rsid w:val="00C7437E"/>
    <w:rsid w:val="00C756C1"/>
    <w:rsid w:val="00C84B6A"/>
    <w:rsid w:val="00C867AC"/>
    <w:rsid w:val="00CA062E"/>
    <w:rsid w:val="00CA1D42"/>
    <w:rsid w:val="00CA3662"/>
    <w:rsid w:val="00CA3E05"/>
    <w:rsid w:val="00CB7709"/>
    <w:rsid w:val="00CD3A84"/>
    <w:rsid w:val="00CD6F7D"/>
    <w:rsid w:val="00D23019"/>
    <w:rsid w:val="00D2706D"/>
    <w:rsid w:val="00D3366E"/>
    <w:rsid w:val="00D45633"/>
    <w:rsid w:val="00D64CEE"/>
    <w:rsid w:val="00D67CFC"/>
    <w:rsid w:val="00D813B1"/>
    <w:rsid w:val="00D90689"/>
    <w:rsid w:val="00DA4593"/>
    <w:rsid w:val="00DC474F"/>
    <w:rsid w:val="00DC4BAB"/>
    <w:rsid w:val="00DE7334"/>
    <w:rsid w:val="00E108FE"/>
    <w:rsid w:val="00E15EAC"/>
    <w:rsid w:val="00E225CA"/>
    <w:rsid w:val="00E43810"/>
    <w:rsid w:val="00E47AC3"/>
    <w:rsid w:val="00E51EA2"/>
    <w:rsid w:val="00E602BD"/>
    <w:rsid w:val="00E713E9"/>
    <w:rsid w:val="00E80FFB"/>
    <w:rsid w:val="00E87016"/>
    <w:rsid w:val="00E90F13"/>
    <w:rsid w:val="00E95A12"/>
    <w:rsid w:val="00EB43AF"/>
    <w:rsid w:val="00EB6A4E"/>
    <w:rsid w:val="00EC43BF"/>
    <w:rsid w:val="00ED6B4A"/>
    <w:rsid w:val="00EF3A07"/>
    <w:rsid w:val="00F04AE1"/>
    <w:rsid w:val="00F1223D"/>
    <w:rsid w:val="00F12F4E"/>
    <w:rsid w:val="00F20309"/>
    <w:rsid w:val="00F3548F"/>
    <w:rsid w:val="00F514DC"/>
    <w:rsid w:val="00F63D41"/>
    <w:rsid w:val="00F9392B"/>
    <w:rsid w:val="00F94F76"/>
    <w:rsid w:val="00F95172"/>
    <w:rsid w:val="00FB6232"/>
    <w:rsid w:val="00FD03BA"/>
    <w:rsid w:val="00FE0EAB"/>
    <w:rsid w:val="00FE7735"/>
    <w:rsid w:val="00FF037C"/>
    <w:rsid w:val="00FF3C3B"/>
    <w:rsid w:val="00FF5E3A"/>
    <w:rsid w:val="052F7BE9"/>
    <w:rsid w:val="07E354E8"/>
    <w:rsid w:val="098B184A"/>
    <w:rsid w:val="0DB77E27"/>
    <w:rsid w:val="107E1436"/>
    <w:rsid w:val="107F16C6"/>
    <w:rsid w:val="14D70820"/>
    <w:rsid w:val="18AB3EEC"/>
    <w:rsid w:val="199D333E"/>
    <w:rsid w:val="1E0848A5"/>
    <w:rsid w:val="1E3F18D8"/>
    <w:rsid w:val="1F456344"/>
    <w:rsid w:val="1FDF2AB0"/>
    <w:rsid w:val="219A24C7"/>
    <w:rsid w:val="233D6EE4"/>
    <w:rsid w:val="23557DEB"/>
    <w:rsid w:val="24231D8E"/>
    <w:rsid w:val="25915A0E"/>
    <w:rsid w:val="261A4D4C"/>
    <w:rsid w:val="27C33CA0"/>
    <w:rsid w:val="2A6A5A19"/>
    <w:rsid w:val="2B5108D7"/>
    <w:rsid w:val="2B7C2FDF"/>
    <w:rsid w:val="2BE66046"/>
    <w:rsid w:val="31B30842"/>
    <w:rsid w:val="3202624E"/>
    <w:rsid w:val="34377F50"/>
    <w:rsid w:val="3E25152A"/>
    <w:rsid w:val="3FFA719D"/>
    <w:rsid w:val="406C535E"/>
    <w:rsid w:val="45011451"/>
    <w:rsid w:val="49586F36"/>
    <w:rsid w:val="4AC23C30"/>
    <w:rsid w:val="4CA95EBA"/>
    <w:rsid w:val="4DFC6236"/>
    <w:rsid w:val="51AD6F01"/>
    <w:rsid w:val="52D954E2"/>
    <w:rsid w:val="538B5D6C"/>
    <w:rsid w:val="546759DA"/>
    <w:rsid w:val="547C4E2A"/>
    <w:rsid w:val="54C67B58"/>
    <w:rsid w:val="5D054434"/>
    <w:rsid w:val="5EA87FAD"/>
    <w:rsid w:val="636546D8"/>
    <w:rsid w:val="64AB558A"/>
    <w:rsid w:val="6DC2661B"/>
    <w:rsid w:val="712C5A62"/>
    <w:rsid w:val="7452317D"/>
    <w:rsid w:val="753D7DC7"/>
    <w:rsid w:val="75936E93"/>
    <w:rsid w:val="760A5128"/>
    <w:rsid w:val="789C4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22"/>
    <w:qFormat/>
    <w:uiPriority w:val="0"/>
    <w:pPr>
      <w:keepNext/>
      <w:jc w:val="center"/>
      <w:outlineLvl w:val="0"/>
    </w:pPr>
    <w:rPr>
      <w:rFonts w:ascii="Times New Roman" w:hAnsi="Times New Roman" w:cs="Times New Roman"/>
      <w:b/>
      <w:bCs/>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cs="Times New Roman"/>
      <w:szCs w:val="20"/>
    </w:rPr>
  </w:style>
  <w:style w:type="paragraph" w:styleId="4">
    <w:name w:val="Body Text"/>
    <w:basedOn w:val="1"/>
    <w:link w:val="30"/>
    <w:unhideWhenUsed/>
    <w:qFormat/>
    <w:uiPriority w:val="99"/>
    <w:pPr>
      <w:spacing w:after="120"/>
    </w:pPr>
    <w:rPr>
      <w:rFonts w:eastAsiaTheme="minorEastAsia"/>
    </w:rPr>
  </w:style>
  <w:style w:type="paragraph" w:styleId="5">
    <w:name w:val="Body Text Indent"/>
    <w:basedOn w:val="1"/>
    <w:link w:val="28"/>
    <w:qFormat/>
    <w:uiPriority w:val="0"/>
    <w:pPr>
      <w:ind w:left="359" w:leftChars="171"/>
    </w:pPr>
    <w:rPr>
      <w:rFonts w:eastAsiaTheme="minorEastAsia"/>
      <w:sz w:val="24"/>
      <w:szCs w:val="20"/>
    </w:rPr>
  </w:style>
  <w:style w:type="paragraph" w:styleId="6">
    <w:name w:val="Plain Text"/>
    <w:basedOn w:val="1"/>
    <w:next w:val="1"/>
    <w:link w:val="32"/>
    <w:qFormat/>
    <w:uiPriority w:val="0"/>
    <w:pPr>
      <w:autoSpaceDE w:val="0"/>
      <w:autoSpaceDN w:val="0"/>
      <w:jc w:val="left"/>
    </w:pPr>
    <w:rPr>
      <w:rFonts w:ascii="宋体" w:hAnsi="Courier New" w:cs="Courier New"/>
      <w:kern w:val="0"/>
      <w:sz w:val="22"/>
      <w:szCs w:val="22"/>
      <w:lang w:eastAsia="en-US"/>
    </w:rPr>
  </w:style>
  <w:style w:type="paragraph" w:styleId="7">
    <w:name w:val="Balloon Text"/>
    <w:basedOn w:val="1"/>
    <w:link w:val="20"/>
    <w:qFormat/>
    <w:uiPriority w:val="0"/>
    <w:rPr>
      <w:sz w:val="18"/>
      <w:szCs w:val="1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1">
    <w:name w:val="Body Text First Indent"/>
    <w:basedOn w:val="4"/>
    <w:link w:val="31"/>
    <w:semiHidden/>
    <w:unhideWhenUsed/>
    <w:uiPriority w:val="0"/>
    <w:pPr>
      <w:ind w:firstLine="420" w:firstLineChars="100"/>
    </w:pPr>
    <w:rPr>
      <w:rFonts w:eastAsia="宋体"/>
    </w:rPr>
  </w:style>
  <w:style w:type="table" w:styleId="13">
    <w:name w:val="Table Grid"/>
    <w:basedOn w:val="12"/>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bCs/>
    </w:rPr>
  </w:style>
  <w:style w:type="character" w:styleId="16">
    <w:name w:val="page number"/>
    <w:basedOn w:val="14"/>
    <w:uiPriority w:val="0"/>
  </w:style>
  <w:style w:type="character" w:customStyle="1" w:styleId="17">
    <w:name w:val="页眉 Char"/>
    <w:basedOn w:val="14"/>
    <w:link w:val="9"/>
    <w:qFormat/>
    <w:uiPriority w:val="0"/>
    <w:rPr>
      <w:rFonts w:eastAsia="宋体"/>
      <w:kern w:val="2"/>
      <w:sz w:val="18"/>
      <w:szCs w:val="18"/>
    </w:rPr>
  </w:style>
  <w:style w:type="character" w:customStyle="1" w:styleId="18">
    <w:name w:val="页脚 Char"/>
    <w:basedOn w:val="14"/>
    <w:link w:val="8"/>
    <w:qFormat/>
    <w:uiPriority w:val="99"/>
    <w:rPr>
      <w:rFonts w:eastAsia="宋体"/>
      <w:kern w:val="2"/>
      <w:sz w:val="18"/>
      <w:szCs w:val="18"/>
    </w:rPr>
  </w:style>
  <w:style w:type="paragraph" w:styleId="19">
    <w:name w:val="List Paragraph"/>
    <w:basedOn w:val="1"/>
    <w:qFormat/>
    <w:uiPriority w:val="34"/>
    <w:pPr>
      <w:ind w:firstLine="420" w:firstLineChars="200"/>
    </w:pPr>
  </w:style>
  <w:style w:type="character" w:customStyle="1" w:styleId="20">
    <w:name w:val="批注框文本 Char"/>
    <w:basedOn w:val="14"/>
    <w:link w:val="7"/>
    <w:qFormat/>
    <w:uiPriority w:val="0"/>
    <w:rPr>
      <w:rFonts w:eastAsia="宋体"/>
      <w:kern w:val="2"/>
      <w:sz w:val="18"/>
      <w:szCs w:val="18"/>
    </w:rPr>
  </w:style>
  <w:style w:type="character" w:customStyle="1" w:styleId="21">
    <w:name w:val="标题 1 Char"/>
    <w:basedOn w:val="14"/>
    <w:link w:val="2"/>
    <w:uiPriority w:val="0"/>
    <w:rPr>
      <w:rFonts w:eastAsia="宋体"/>
      <w:b/>
      <w:bCs/>
      <w:kern w:val="44"/>
      <w:sz w:val="44"/>
      <w:szCs w:val="44"/>
    </w:rPr>
  </w:style>
  <w:style w:type="character" w:customStyle="1" w:styleId="22">
    <w:name w:val="标题 1 Char1"/>
    <w:link w:val="2"/>
    <w:qFormat/>
    <w:uiPriority w:val="0"/>
    <w:rPr>
      <w:rFonts w:ascii="Times New Roman" w:hAnsi="Times New Roman" w:eastAsia="宋体" w:cs="Times New Roman"/>
      <w:b/>
      <w:bCs/>
      <w:kern w:val="2"/>
      <w:sz w:val="28"/>
      <w:szCs w:val="24"/>
    </w:rPr>
  </w:style>
  <w:style w:type="character" w:customStyle="1" w:styleId="23">
    <w:name w:val="页脚 字符"/>
    <w:uiPriority w:val="0"/>
    <w:rPr>
      <w:kern w:val="2"/>
      <w:sz w:val="18"/>
      <w:szCs w:val="18"/>
    </w:rPr>
  </w:style>
  <w:style w:type="character" w:customStyle="1" w:styleId="24">
    <w:name w:val="页眉 字符"/>
    <w:uiPriority w:val="0"/>
    <w:rPr>
      <w:kern w:val="2"/>
      <w:sz w:val="18"/>
      <w:szCs w:val="18"/>
    </w:rPr>
  </w:style>
  <w:style w:type="character" w:customStyle="1" w:styleId="25">
    <w:name w:val="正文文本缩进 Char1"/>
    <w:link w:val="5"/>
    <w:uiPriority w:val="0"/>
    <w:rPr>
      <w:kern w:val="2"/>
      <w:sz w:val="24"/>
    </w:rPr>
  </w:style>
  <w:style w:type="character" w:customStyle="1" w:styleId="26">
    <w:name w:val="批注框文本 字符"/>
    <w:uiPriority w:val="0"/>
    <w:rPr>
      <w:kern w:val="2"/>
      <w:sz w:val="18"/>
      <w:szCs w:val="18"/>
    </w:rPr>
  </w:style>
  <w:style w:type="paragraph" w:customStyle="1" w:styleId="27">
    <w:name w:val="xl24"/>
    <w:basedOn w:val="1"/>
    <w:qFormat/>
    <w:uiPriority w:val="0"/>
    <w:pPr>
      <w:widowControl/>
      <w:spacing w:before="100" w:beforeAutospacing="1" w:after="100" w:afterAutospacing="1"/>
      <w:jc w:val="center"/>
    </w:pPr>
    <w:rPr>
      <w:rFonts w:ascii="宋体" w:hAnsi="宋体" w:cs="Times New Roman"/>
      <w:kern w:val="0"/>
      <w:sz w:val="24"/>
    </w:rPr>
  </w:style>
  <w:style w:type="character" w:customStyle="1" w:styleId="28">
    <w:name w:val="正文文本缩进 Char"/>
    <w:basedOn w:val="14"/>
    <w:link w:val="5"/>
    <w:semiHidden/>
    <w:qFormat/>
    <w:uiPriority w:val="0"/>
    <w:rPr>
      <w:rFonts w:eastAsia="宋体"/>
      <w:kern w:val="2"/>
      <w:sz w:val="21"/>
      <w:szCs w:val="24"/>
    </w:rPr>
  </w:style>
  <w:style w:type="paragraph" w:customStyle="1" w:styleId="29">
    <w:name w:val="普通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30">
    <w:name w:val="正文文本 Char"/>
    <w:basedOn w:val="14"/>
    <w:link w:val="4"/>
    <w:qFormat/>
    <w:uiPriority w:val="99"/>
    <w:rPr>
      <w:kern w:val="2"/>
      <w:sz w:val="21"/>
      <w:szCs w:val="24"/>
    </w:rPr>
  </w:style>
  <w:style w:type="character" w:customStyle="1" w:styleId="31">
    <w:name w:val="正文首行缩进 Char"/>
    <w:basedOn w:val="30"/>
    <w:link w:val="11"/>
    <w:semiHidden/>
    <w:qFormat/>
    <w:uiPriority w:val="0"/>
    <w:rPr>
      <w:rFonts w:eastAsia="宋体"/>
    </w:rPr>
  </w:style>
  <w:style w:type="character" w:customStyle="1" w:styleId="32">
    <w:name w:val="纯文本 Char"/>
    <w:basedOn w:val="14"/>
    <w:link w:val="6"/>
    <w:qFormat/>
    <w:uiPriority w:val="0"/>
    <w:rPr>
      <w:rFonts w:ascii="宋体" w:hAnsi="Courier New" w:eastAsia="宋体" w:cs="Courier New"/>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890</Words>
  <Characters>5076</Characters>
  <Lines>42</Lines>
  <Paragraphs>11</Paragraphs>
  <TotalTime>3</TotalTime>
  <ScaleCrop>false</ScaleCrop>
  <LinksUpToDate>false</LinksUpToDate>
  <CharactersWithSpaces>5955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王建清</cp:lastModifiedBy>
  <cp:lastPrinted>2018-08-20T02:56:00Z</cp:lastPrinted>
  <dcterms:modified xsi:type="dcterms:W3CDTF">2023-09-12T06:29:26Z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6E7C06FE607C4AF7BEEA9A40B224BDAB_12</vt:lpwstr>
  </property>
</Properties>
</file>