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ascii="仿宋" w:hAnsi="仿宋" w:eastAsia="仿宋" w:cs="仿宋"/>
          <w:b/>
          <w:bCs/>
          <w:spacing w:val="10"/>
          <w:sz w:val="28"/>
          <w:szCs w:val="28"/>
          <w:u w:val="single"/>
        </w:rPr>
        <w:t>金晖路厂空调新风机组新风口更换</w:t>
      </w:r>
      <w:r>
        <w:rPr>
          <w:rFonts w:hint="eastAsia" w:ascii="仿宋" w:hAnsi="仿宋" w:eastAsia="仿宋" w:cs="仿宋"/>
          <w:b/>
          <w:bCs/>
          <w:spacing w:val="10"/>
          <w:sz w:val="28"/>
          <w:szCs w:val="28"/>
          <w:u w:val="single"/>
        </w:rPr>
        <w:t xml:space="preserve">改造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山东金都电子材料有限公司</w:t>
      </w:r>
    </w:p>
    <w:p>
      <w:pPr>
        <w:spacing w:line="360" w:lineRule="auto"/>
        <w:ind w:firstLine="1200" w:firstLineChars="400"/>
        <w:jc w:val="left"/>
        <w:rPr>
          <w:rFonts w:ascii="仿宋" w:hAnsi="仿宋" w:eastAsia="仿宋" w:cs="仿宋"/>
          <w:spacing w:val="10"/>
          <w:sz w:val="24"/>
          <w:u w:val="single"/>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2022年10月19日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山东金都电子材料有限公司就</w:t>
      </w:r>
      <w:r>
        <w:rPr>
          <w:rFonts w:hint="eastAsia" w:ascii="仿宋_GB2312" w:hAnsi="宋体" w:eastAsia="仿宋_GB2312"/>
          <w:sz w:val="28"/>
          <w:szCs w:val="28"/>
          <w:u w:val="single"/>
        </w:rPr>
        <w:t>“</w:t>
      </w:r>
      <w:r>
        <w:rPr>
          <w:rFonts w:ascii="仿宋" w:hAnsi="仿宋" w:eastAsia="仿宋" w:cs="仿宋"/>
          <w:b/>
          <w:bCs/>
          <w:spacing w:val="10"/>
          <w:sz w:val="28"/>
          <w:szCs w:val="28"/>
          <w:u w:val="single"/>
        </w:rPr>
        <w:t>空调新风机组新风口更换</w:t>
      </w:r>
      <w:r>
        <w:rPr>
          <w:rFonts w:hint="eastAsia" w:ascii="仿宋" w:hAnsi="仿宋" w:eastAsia="仿宋" w:cs="仿宋"/>
          <w:b/>
          <w:bCs/>
          <w:spacing w:val="10"/>
          <w:sz w:val="28"/>
          <w:szCs w:val="28"/>
          <w:u w:val="single"/>
        </w:rPr>
        <w:t>改造</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6"/>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山东金都电子材料有限公司</w:t>
      </w:r>
    </w:p>
    <w:p>
      <w:pPr>
        <w:spacing w:line="360" w:lineRule="auto"/>
        <w:ind w:right="70" w:firstLine="562" w:firstLineChars="200"/>
        <w:rPr>
          <w:rFonts w:ascii="仿宋" w:hAnsi="仿宋" w:eastAsia="仿宋" w:cs="仿宋"/>
          <w:b/>
          <w:bCs/>
          <w:spacing w:val="10"/>
          <w:sz w:val="28"/>
          <w:szCs w:val="28"/>
        </w:rPr>
      </w:pPr>
      <w:r>
        <w:rPr>
          <w:rFonts w:hint="eastAsia" w:ascii="仿宋_GB2312" w:hAnsi="宋体" w:eastAsia="仿宋_GB2312"/>
          <w:b/>
          <w:bCs/>
          <w:sz w:val="28"/>
          <w:szCs w:val="28"/>
        </w:rPr>
        <w:t>二、项目名称：</w:t>
      </w:r>
      <w:r>
        <w:rPr>
          <w:rFonts w:ascii="仿宋" w:hAnsi="仿宋" w:eastAsia="仿宋" w:cs="仿宋"/>
          <w:b/>
          <w:bCs/>
          <w:spacing w:val="10"/>
          <w:sz w:val="28"/>
          <w:szCs w:val="28"/>
        </w:rPr>
        <w:t>空调新风机组新风口更换</w:t>
      </w:r>
      <w:r>
        <w:rPr>
          <w:rFonts w:hint="eastAsia" w:ascii="仿宋" w:hAnsi="仿宋" w:eastAsia="仿宋" w:cs="仿宋"/>
          <w:b/>
          <w:bCs/>
          <w:spacing w:val="10"/>
          <w:sz w:val="28"/>
          <w:szCs w:val="28"/>
        </w:rPr>
        <w:t>改造</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w:t>
      </w:r>
      <w:r>
        <w:rPr>
          <w:rFonts w:hint="eastAsia" w:ascii="仿宋_GB2312" w:eastAsia="仿宋_GB2312"/>
          <w:b/>
          <w:color w:val="C00000"/>
          <w:sz w:val="28"/>
          <w:szCs w:val="28"/>
          <w:lang w:val="en-US" w:eastAsia="zh-CN"/>
        </w:rPr>
        <w:t>2.10.28-2022.10.31</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w:t>
      </w:r>
      <w:r>
        <w:rPr>
          <w:rFonts w:hint="eastAsia" w:ascii="仿宋_GB2312" w:eastAsia="仿宋_GB2312"/>
          <w:b/>
          <w:color w:val="C00000"/>
          <w:sz w:val="28"/>
          <w:szCs w:val="28"/>
          <w:lang w:val="en-US" w:eastAsia="zh-CN"/>
        </w:rPr>
        <w:t>2.11.1-2022.11.3</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薛林源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13583535466      </w:t>
      </w:r>
      <w:r>
        <w:rPr>
          <w:rFonts w:hint="eastAsia" w:ascii="仿宋_GB2312" w:hAnsi="宋体" w:eastAsia="仿宋_GB2312"/>
          <w:sz w:val="28"/>
          <w:szCs w:val="28"/>
        </w:rPr>
        <w:t>13780923594</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邮箱：</w:t>
      </w:r>
      <w:r>
        <w:rPr>
          <w:rFonts w:hint="eastAsia" w:ascii="仿宋_GB2312" w:hAnsi="宋体" w:eastAsia="仿宋_GB2312"/>
          <w:sz w:val="28"/>
          <w:szCs w:val="28"/>
        </w:rPr>
        <w:t>yin8116376@163.com</w:t>
      </w:r>
    </w:p>
    <w:p>
      <w:pPr>
        <w:spacing w:line="360" w:lineRule="auto"/>
        <w:ind w:right="70" w:firstLine="562" w:firstLineChars="200"/>
        <w:rPr>
          <w:rFonts w:hint="default" w:ascii="仿宋_GB2312" w:hAnsi="宋体" w:eastAsia="仿宋_GB2312"/>
          <w:color w:val="C00000"/>
          <w:sz w:val="28"/>
          <w:szCs w:val="28"/>
          <w:lang w:val="en-US" w:eastAsia="zh-CN"/>
        </w:rPr>
      </w:pPr>
      <w:r>
        <w:rPr>
          <w:rFonts w:hint="eastAsia" w:ascii="仿宋_GB2312" w:hAnsi="宋体" w:eastAsia="仿宋_GB2312"/>
          <w:b/>
          <w:bCs/>
          <w:sz w:val="28"/>
          <w:szCs w:val="28"/>
        </w:rPr>
        <w:t>五、</w:t>
      </w: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小方</w:t>
      </w:r>
      <w:r>
        <w:rPr>
          <w:rFonts w:hint="eastAsia" w:ascii="仿宋_GB2312" w:hAnsi="宋体" w:eastAsia="仿宋_GB2312"/>
          <w:b/>
          <w:bCs/>
          <w:color w:val="C00000"/>
          <w:sz w:val="28"/>
          <w:szCs w:val="28"/>
          <w:lang w:val="en-US" w:eastAsia="zh-CN"/>
        </w:rPr>
        <w:t>0535-2701503</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六、投标地点：</w:t>
      </w:r>
      <w:r>
        <w:rPr>
          <w:rFonts w:hint="eastAsia" w:ascii="仿宋_GB2312" w:hAnsi="宋体" w:eastAsia="仿宋_GB2312"/>
          <w:sz w:val="28"/>
          <w:szCs w:val="28"/>
        </w:rPr>
        <w:t xml:space="preserve">山东省招远市国大路268号1楼 </w:t>
      </w:r>
      <w:r>
        <w:rPr>
          <w:rFonts w:hint="eastAsia" w:ascii="仿宋_GB2312" w:hAnsi="宋体" w:eastAsia="仿宋_GB2312"/>
          <w:sz w:val="28"/>
          <w:szCs w:val="28"/>
          <w:lang w:val="en-US" w:eastAsia="zh-CN"/>
        </w:rPr>
        <w:t>106</w:t>
      </w:r>
      <w:bookmarkStart w:id="0" w:name="_GoBack"/>
      <w:bookmarkEnd w:id="0"/>
      <w:r>
        <w:rPr>
          <w:rFonts w:hint="eastAsia" w:ascii="仿宋_GB2312" w:hAnsi="宋体" w:eastAsia="仿宋_GB2312"/>
          <w:sz w:val="28"/>
          <w:szCs w:val="28"/>
        </w:rPr>
        <w:t>室</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lang w:eastAsia="zh-CN"/>
        </w:rPr>
        <w:t>尹瑞权</w:t>
      </w:r>
      <w:r>
        <w:rPr>
          <w:rFonts w:hint="eastAsia" w:ascii="仿宋_GB2312" w:hAnsi="宋体" w:eastAsia="仿宋_GB2312"/>
          <w:b/>
          <w:bCs/>
          <w:sz w:val="28"/>
          <w:szCs w:val="28"/>
        </w:rPr>
        <w:t>）</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小方</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2.1、①预付款30%；②安装完成验收合格付款60%；③质保金10%（一</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年后付清）；</w:t>
      </w:r>
      <w:r>
        <w:rPr>
          <w:rFonts w:hint="eastAsia" w:ascii="仿宋_GB2312" w:hAnsi="宋体" w:eastAsia="仿宋_GB2312"/>
          <w:sz w:val="28"/>
          <w:szCs w:val="28"/>
          <w:highlight w:val="yellow"/>
        </w:rPr>
        <w:t>预付款，需开具同等金额银行履约保函后才能付款。</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2.2、①改造完成验收合格付款90%；②质保金10%（一年后付清）。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2.3、或者比上述两者更优越的付款条件。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rPr>
        <w:t>15日</w:t>
      </w:r>
      <w:r>
        <w:rPr>
          <w:rFonts w:hint="eastAsia" w:ascii="仿宋_GB2312" w:hAnsi="宋体" w:eastAsia="仿宋_GB2312"/>
          <w:sz w:val="28"/>
          <w:szCs w:val="28"/>
        </w:rPr>
        <w:t>。</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2、交货地点：铜箔金晖路厂</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 xml:space="preserve">        </w:t>
      </w: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pStyle w:val="16"/>
        <w:spacing w:line="360" w:lineRule="auto"/>
        <w:ind w:left="642" w:right="70" w:firstLine="0" w:firstLineChars="0"/>
        <w:rPr>
          <w:rFonts w:ascii="仿宋_GB2312" w:hAnsi="宋体" w:eastAsia="仿宋_GB2312"/>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pStyle w:val="16"/>
        <w:numPr>
          <w:ilvl w:val="0"/>
          <w:numId w:val="5"/>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r>
        <w:rPr>
          <w:rFonts w:hint="eastAsia" w:ascii="仿宋_GB2312" w:hAnsi="仿宋_GB2312" w:eastAsia="仿宋_GB2312" w:cs="仿宋_GB2312"/>
          <w:sz w:val="28"/>
          <w:szCs w:val="32"/>
          <w:highlight w:val="yellow"/>
        </w:rPr>
        <w:t>（参考值）</w:t>
      </w:r>
    </w:p>
    <w:tbl>
      <w:tblPr>
        <w:tblStyle w:val="9"/>
        <w:tblW w:w="9072"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8"/>
        <w:gridCol w:w="993"/>
        <w:gridCol w:w="2268"/>
        <w:gridCol w:w="708"/>
        <w:gridCol w:w="1134"/>
        <w:gridCol w:w="993"/>
        <w:gridCol w:w="992"/>
        <w:gridCol w:w="12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1" w:hRule="atLeast"/>
        </w:trPr>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99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  称</w:t>
            </w:r>
          </w:p>
        </w:tc>
        <w:tc>
          <w:tcPr>
            <w:tcW w:w="226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型号</w:t>
            </w:r>
          </w:p>
        </w:tc>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1134"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993" w:type="dxa"/>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单价</w:t>
            </w:r>
          </w:p>
        </w:tc>
        <w:tc>
          <w:tcPr>
            <w:tcW w:w="992" w:type="dxa"/>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总价</w:t>
            </w:r>
          </w:p>
        </w:tc>
        <w:tc>
          <w:tcPr>
            <w:tcW w:w="1276"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ascii="宋体" w:hAnsi="宋体"/>
                <w:sz w:val="24"/>
              </w:rPr>
            </w:pPr>
            <w:r>
              <w:rPr>
                <w:rFonts w:hint="eastAsia" w:ascii="宋体" w:hAnsi="宋体"/>
                <w:sz w:val="24"/>
              </w:rPr>
              <w:t>1</w:t>
            </w:r>
          </w:p>
        </w:tc>
        <w:tc>
          <w:tcPr>
            <w:tcW w:w="993"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弯头</w:t>
            </w:r>
          </w:p>
        </w:tc>
        <w:tc>
          <w:tcPr>
            <w:tcW w:w="2268"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630*1240  R=200  厚度1.5mm</w:t>
            </w:r>
          </w:p>
        </w:tc>
        <w:tc>
          <w:tcPr>
            <w:tcW w:w="708"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套</w:t>
            </w:r>
          </w:p>
        </w:tc>
        <w:tc>
          <w:tcPr>
            <w:tcW w:w="1134"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993" w:type="dxa"/>
          </w:tcPr>
          <w:p>
            <w:pPr>
              <w:widowControl/>
              <w:spacing w:line="400" w:lineRule="exact"/>
              <w:jc w:val="center"/>
              <w:rPr>
                <w:rFonts w:ascii="Arial" w:hAnsi="Arial" w:eastAsia="仿宋_GB2312" w:cs="Arial"/>
                <w:sz w:val="24"/>
              </w:rPr>
            </w:pPr>
          </w:p>
        </w:tc>
        <w:tc>
          <w:tcPr>
            <w:tcW w:w="992" w:type="dxa"/>
            <w:vAlign w:val="center"/>
          </w:tcPr>
          <w:p>
            <w:pPr>
              <w:widowControl/>
              <w:jc w:val="center"/>
              <w:textAlignment w:val="center"/>
              <w:rPr>
                <w:rFonts w:hint="eastAsia" w:ascii="宋体" w:hAnsi="宋体" w:cs="宋体"/>
                <w:color w:val="000000"/>
                <w:sz w:val="22"/>
                <w:szCs w:val="22"/>
              </w:rPr>
            </w:pPr>
          </w:p>
        </w:tc>
        <w:tc>
          <w:tcPr>
            <w:tcW w:w="1276" w:type="dxa"/>
            <w:tcMar>
              <w:top w:w="0" w:type="dxa"/>
              <w:left w:w="108" w:type="dxa"/>
              <w:bottom w:w="0" w:type="dxa"/>
              <w:right w:w="108" w:type="dxa"/>
            </w:tcMar>
            <w:vAlign w:val="center"/>
          </w:tcPr>
          <w:p>
            <w:pPr>
              <w:widowControl/>
              <w:spacing w:line="400" w:lineRule="exact"/>
              <w:jc w:val="center"/>
              <w:rPr>
                <w:rFonts w:ascii="Arial" w:hAnsi="Arial" w:eastAsia="仿宋_GB2312" w:cs="Arial"/>
                <w:sz w:val="24"/>
              </w:rPr>
            </w:pPr>
            <w:r>
              <w:rPr>
                <w:rFonts w:ascii="Arial" w:hAnsi="Arial" w:eastAsia="仿宋_GB2312" w:cs="Arial"/>
                <w:sz w:val="24"/>
              </w:rPr>
              <w:t>镀锌板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2</w:t>
            </w:r>
          </w:p>
        </w:tc>
        <w:tc>
          <w:tcPr>
            <w:tcW w:w="993"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弯头</w:t>
            </w:r>
          </w:p>
        </w:tc>
        <w:tc>
          <w:tcPr>
            <w:tcW w:w="2268"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630*1300 R=200    厚度1.5mm</w:t>
            </w:r>
          </w:p>
        </w:tc>
        <w:tc>
          <w:tcPr>
            <w:tcW w:w="708"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套</w:t>
            </w:r>
          </w:p>
        </w:tc>
        <w:tc>
          <w:tcPr>
            <w:tcW w:w="1134"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993" w:type="dxa"/>
          </w:tcPr>
          <w:p>
            <w:pPr>
              <w:widowControl/>
              <w:spacing w:line="400" w:lineRule="exact"/>
              <w:jc w:val="center"/>
              <w:rPr>
                <w:rFonts w:ascii="Arial" w:hAnsi="Arial" w:eastAsia="仿宋_GB2312" w:cs="Arial"/>
                <w:sz w:val="24"/>
              </w:rPr>
            </w:pPr>
          </w:p>
        </w:tc>
        <w:tc>
          <w:tcPr>
            <w:tcW w:w="992" w:type="dxa"/>
            <w:vAlign w:val="center"/>
          </w:tcPr>
          <w:p>
            <w:pPr>
              <w:widowControl/>
              <w:jc w:val="center"/>
              <w:textAlignment w:val="center"/>
              <w:rPr>
                <w:rFonts w:hint="eastAsia" w:ascii="宋体" w:hAnsi="宋体" w:cs="宋体"/>
                <w:color w:val="000000"/>
                <w:sz w:val="22"/>
                <w:szCs w:val="22"/>
              </w:rPr>
            </w:pPr>
          </w:p>
        </w:tc>
        <w:tc>
          <w:tcPr>
            <w:tcW w:w="1276" w:type="dxa"/>
            <w:tcMar>
              <w:top w:w="0" w:type="dxa"/>
              <w:left w:w="108" w:type="dxa"/>
              <w:bottom w:w="0" w:type="dxa"/>
              <w:right w:w="108" w:type="dxa"/>
            </w:tcMar>
          </w:tcPr>
          <w:p>
            <w:pPr>
              <w:jc w:val="center"/>
            </w:pPr>
            <w:r>
              <w:rPr>
                <w:rFonts w:ascii="Arial" w:hAnsi="Arial" w:eastAsia="仿宋_GB2312" w:cs="Arial"/>
                <w:sz w:val="24"/>
              </w:rPr>
              <w:t>镀锌板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3</w:t>
            </w:r>
          </w:p>
        </w:tc>
        <w:tc>
          <w:tcPr>
            <w:tcW w:w="993"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防护罩</w:t>
            </w:r>
          </w:p>
        </w:tc>
        <w:tc>
          <w:tcPr>
            <w:tcW w:w="2268"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630*1240/1000*1800 厚度1.5mm</w:t>
            </w:r>
          </w:p>
        </w:tc>
        <w:tc>
          <w:tcPr>
            <w:tcW w:w="708"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套</w:t>
            </w:r>
          </w:p>
        </w:tc>
        <w:tc>
          <w:tcPr>
            <w:tcW w:w="1134"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993" w:type="dxa"/>
          </w:tcPr>
          <w:p>
            <w:pPr>
              <w:widowControl/>
              <w:spacing w:line="400" w:lineRule="exact"/>
              <w:jc w:val="center"/>
              <w:rPr>
                <w:rFonts w:ascii="Arial" w:hAnsi="Arial" w:eastAsia="仿宋_GB2312" w:cs="Arial"/>
                <w:sz w:val="24"/>
              </w:rPr>
            </w:pPr>
          </w:p>
        </w:tc>
        <w:tc>
          <w:tcPr>
            <w:tcW w:w="992" w:type="dxa"/>
            <w:vAlign w:val="center"/>
          </w:tcPr>
          <w:p>
            <w:pPr>
              <w:widowControl/>
              <w:jc w:val="center"/>
              <w:textAlignment w:val="center"/>
              <w:rPr>
                <w:rFonts w:hint="eastAsia" w:ascii="宋体" w:hAnsi="宋体" w:cs="宋体"/>
                <w:color w:val="000000"/>
                <w:sz w:val="22"/>
                <w:szCs w:val="22"/>
              </w:rPr>
            </w:pPr>
          </w:p>
        </w:tc>
        <w:tc>
          <w:tcPr>
            <w:tcW w:w="1276" w:type="dxa"/>
            <w:tcMar>
              <w:top w:w="0" w:type="dxa"/>
              <w:left w:w="108" w:type="dxa"/>
              <w:bottom w:w="0" w:type="dxa"/>
              <w:right w:w="108" w:type="dxa"/>
            </w:tcMar>
          </w:tcPr>
          <w:p>
            <w:pPr>
              <w:jc w:val="center"/>
            </w:pPr>
            <w:r>
              <w:rPr>
                <w:rFonts w:ascii="Arial" w:hAnsi="Arial" w:eastAsia="仿宋_GB2312" w:cs="Arial"/>
                <w:sz w:val="24"/>
              </w:rPr>
              <w:t>镀锌板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4</w:t>
            </w:r>
          </w:p>
        </w:tc>
        <w:tc>
          <w:tcPr>
            <w:tcW w:w="993"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防护罩</w:t>
            </w:r>
          </w:p>
        </w:tc>
        <w:tc>
          <w:tcPr>
            <w:tcW w:w="2268"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630*1300/1000*2000  厚度1.5mm</w:t>
            </w:r>
          </w:p>
        </w:tc>
        <w:tc>
          <w:tcPr>
            <w:tcW w:w="708"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套</w:t>
            </w:r>
          </w:p>
        </w:tc>
        <w:tc>
          <w:tcPr>
            <w:tcW w:w="1134"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993" w:type="dxa"/>
          </w:tcPr>
          <w:p>
            <w:pPr>
              <w:widowControl/>
              <w:spacing w:line="400" w:lineRule="exact"/>
              <w:jc w:val="center"/>
              <w:rPr>
                <w:rFonts w:ascii="Arial" w:hAnsi="Arial" w:eastAsia="仿宋_GB2312" w:cs="Arial"/>
                <w:sz w:val="24"/>
              </w:rPr>
            </w:pPr>
          </w:p>
        </w:tc>
        <w:tc>
          <w:tcPr>
            <w:tcW w:w="992" w:type="dxa"/>
            <w:vAlign w:val="center"/>
          </w:tcPr>
          <w:p>
            <w:pPr>
              <w:widowControl/>
              <w:jc w:val="center"/>
              <w:textAlignment w:val="center"/>
              <w:rPr>
                <w:rFonts w:hint="eastAsia" w:ascii="宋体" w:hAnsi="宋体" w:cs="宋体"/>
                <w:color w:val="000000"/>
                <w:sz w:val="22"/>
                <w:szCs w:val="22"/>
              </w:rPr>
            </w:pPr>
          </w:p>
        </w:tc>
        <w:tc>
          <w:tcPr>
            <w:tcW w:w="1276" w:type="dxa"/>
            <w:tcMar>
              <w:top w:w="0" w:type="dxa"/>
              <w:left w:w="108" w:type="dxa"/>
              <w:bottom w:w="0" w:type="dxa"/>
              <w:right w:w="108" w:type="dxa"/>
            </w:tcMar>
          </w:tcPr>
          <w:p>
            <w:pPr>
              <w:jc w:val="center"/>
            </w:pPr>
            <w:r>
              <w:rPr>
                <w:rFonts w:ascii="Arial" w:hAnsi="Arial" w:eastAsia="仿宋_GB2312" w:cs="Arial"/>
                <w:sz w:val="24"/>
              </w:rPr>
              <w:t>镀锌板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5</w:t>
            </w:r>
          </w:p>
        </w:tc>
        <w:tc>
          <w:tcPr>
            <w:tcW w:w="993"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法兰</w:t>
            </w:r>
          </w:p>
        </w:tc>
        <w:tc>
          <w:tcPr>
            <w:tcW w:w="2268"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630*1240         厚度4mm</w:t>
            </w:r>
          </w:p>
        </w:tc>
        <w:tc>
          <w:tcPr>
            <w:tcW w:w="708"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套</w:t>
            </w:r>
          </w:p>
        </w:tc>
        <w:tc>
          <w:tcPr>
            <w:tcW w:w="1134"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w:t>
            </w:r>
          </w:p>
        </w:tc>
        <w:tc>
          <w:tcPr>
            <w:tcW w:w="993" w:type="dxa"/>
          </w:tcPr>
          <w:p>
            <w:pPr>
              <w:widowControl/>
              <w:spacing w:line="400" w:lineRule="exact"/>
              <w:jc w:val="center"/>
              <w:rPr>
                <w:rFonts w:ascii="Arial" w:hAnsi="Arial" w:eastAsia="仿宋_GB2312" w:cs="Arial"/>
                <w:sz w:val="24"/>
              </w:rPr>
            </w:pPr>
          </w:p>
        </w:tc>
        <w:tc>
          <w:tcPr>
            <w:tcW w:w="992" w:type="dxa"/>
            <w:vAlign w:val="center"/>
          </w:tcPr>
          <w:p>
            <w:pPr>
              <w:widowControl/>
              <w:jc w:val="center"/>
              <w:textAlignment w:val="center"/>
              <w:rPr>
                <w:rFonts w:hint="eastAsia" w:ascii="宋体" w:hAnsi="宋体" w:cs="宋体"/>
                <w:color w:val="000000"/>
                <w:sz w:val="22"/>
                <w:szCs w:val="22"/>
              </w:rPr>
            </w:pPr>
          </w:p>
        </w:tc>
        <w:tc>
          <w:tcPr>
            <w:tcW w:w="1276" w:type="dxa"/>
            <w:tcMar>
              <w:top w:w="0" w:type="dxa"/>
              <w:left w:w="108" w:type="dxa"/>
              <w:bottom w:w="0" w:type="dxa"/>
              <w:right w:w="108" w:type="dxa"/>
            </w:tcMar>
          </w:tcPr>
          <w:p>
            <w:pPr>
              <w:jc w:val="center"/>
            </w:pPr>
            <w:r>
              <w:rPr>
                <w:rFonts w:ascii="Arial" w:hAnsi="Arial" w:eastAsia="仿宋_GB2312" w:cs="Arial"/>
                <w:sz w:val="24"/>
              </w:rPr>
              <w:t>镀锌板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6</w:t>
            </w:r>
          </w:p>
        </w:tc>
        <w:tc>
          <w:tcPr>
            <w:tcW w:w="993"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法兰</w:t>
            </w:r>
          </w:p>
        </w:tc>
        <w:tc>
          <w:tcPr>
            <w:tcW w:w="2268"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630*1300         厚度4mm</w:t>
            </w:r>
          </w:p>
        </w:tc>
        <w:tc>
          <w:tcPr>
            <w:tcW w:w="708"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套</w:t>
            </w:r>
          </w:p>
        </w:tc>
        <w:tc>
          <w:tcPr>
            <w:tcW w:w="1134"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w:t>
            </w:r>
          </w:p>
        </w:tc>
        <w:tc>
          <w:tcPr>
            <w:tcW w:w="993" w:type="dxa"/>
          </w:tcPr>
          <w:p>
            <w:pPr>
              <w:widowControl/>
              <w:spacing w:line="400" w:lineRule="exact"/>
              <w:jc w:val="center"/>
              <w:rPr>
                <w:rFonts w:ascii="Arial" w:hAnsi="Arial" w:eastAsia="仿宋_GB2312" w:cs="Arial"/>
                <w:sz w:val="24"/>
              </w:rPr>
            </w:pPr>
          </w:p>
        </w:tc>
        <w:tc>
          <w:tcPr>
            <w:tcW w:w="992" w:type="dxa"/>
            <w:vAlign w:val="center"/>
          </w:tcPr>
          <w:p>
            <w:pPr>
              <w:widowControl/>
              <w:jc w:val="center"/>
              <w:textAlignment w:val="center"/>
              <w:rPr>
                <w:rFonts w:hint="eastAsia" w:ascii="宋体" w:hAnsi="宋体" w:cs="宋体"/>
                <w:color w:val="000000"/>
                <w:sz w:val="22"/>
                <w:szCs w:val="22"/>
              </w:rPr>
            </w:pPr>
          </w:p>
        </w:tc>
        <w:tc>
          <w:tcPr>
            <w:tcW w:w="1276" w:type="dxa"/>
            <w:tcMar>
              <w:top w:w="0" w:type="dxa"/>
              <w:left w:w="108" w:type="dxa"/>
              <w:bottom w:w="0" w:type="dxa"/>
              <w:right w:w="108" w:type="dxa"/>
            </w:tcMar>
          </w:tcPr>
          <w:p>
            <w:pPr>
              <w:jc w:val="center"/>
            </w:pPr>
            <w:r>
              <w:rPr>
                <w:rFonts w:ascii="Arial" w:hAnsi="Arial" w:eastAsia="仿宋_GB2312" w:cs="Arial"/>
                <w:sz w:val="24"/>
              </w:rPr>
              <w:t>镀锌板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7</w:t>
            </w:r>
          </w:p>
        </w:tc>
        <w:tc>
          <w:tcPr>
            <w:tcW w:w="993"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防雨百叶</w:t>
            </w:r>
          </w:p>
        </w:tc>
        <w:tc>
          <w:tcPr>
            <w:tcW w:w="2268"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 xml:space="preserve">630*1300 </w:t>
            </w:r>
          </w:p>
        </w:tc>
        <w:tc>
          <w:tcPr>
            <w:tcW w:w="708"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套</w:t>
            </w:r>
          </w:p>
        </w:tc>
        <w:tc>
          <w:tcPr>
            <w:tcW w:w="1134"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w:t>
            </w:r>
          </w:p>
        </w:tc>
        <w:tc>
          <w:tcPr>
            <w:tcW w:w="993" w:type="dxa"/>
          </w:tcPr>
          <w:p>
            <w:pPr>
              <w:widowControl/>
              <w:spacing w:line="400" w:lineRule="exact"/>
              <w:jc w:val="center"/>
              <w:rPr>
                <w:rFonts w:ascii="Arial" w:hAnsi="Arial" w:eastAsia="仿宋_GB2312" w:cs="Arial"/>
                <w:sz w:val="24"/>
              </w:rPr>
            </w:pPr>
          </w:p>
        </w:tc>
        <w:tc>
          <w:tcPr>
            <w:tcW w:w="992" w:type="dxa"/>
            <w:vAlign w:val="center"/>
          </w:tcPr>
          <w:p>
            <w:pPr>
              <w:widowControl/>
              <w:jc w:val="center"/>
              <w:textAlignment w:val="center"/>
              <w:rPr>
                <w:rFonts w:hint="eastAsia" w:ascii="宋体" w:hAnsi="宋体" w:cs="宋体"/>
                <w:color w:val="000000"/>
                <w:sz w:val="22"/>
                <w:szCs w:val="22"/>
              </w:rPr>
            </w:pPr>
          </w:p>
        </w:tc>
        <w:tc>
          <w:tcPr>
            <w:tcW w:w="1276" w:type="dxa"/>
            <w:tcMar>
              <w:top w:w="0" w:type="dxa"/>
              <w:left w:w="108" w:type="dxa"/>
              <w:bottom w:w="0" w:type="dxa"/>
              <w:right w:w="108" w:type="dxa"/>
            </w:tcMar>
            <w:vAlign w:val="center"/>
          </w:tcPr>
          <w:p>
            <w:pPr>
              <w:widowControl/>
              <w:spacing w:line="400" w:lineRule="exact"/>
              <w:jc w:val="center"/>
              <w:rPr>
                <w:rFonts w:ascii="Arial" w:hAnsi="Arial" w:eastAsia="仿宋_GB2312" w:cs="Arial"/>
                <w:sz w:val="24"/>
              </w:rPr>
            </w:pPr>
            <w:r>
              <w:rPr>
                <w:rFonts w:ascii="Arial" w:hAnsi="Arial" w:eastAsia="仿宋_GB2312" w:cs="Arial"/>
                <w:sz w:val="24"/>
              </w:rPr>
              <w:t>铝合金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8</w:t>
            </w:r>
          </w:p>
        </w:tc>
        <w:tc>
          <w:tcPr>
            <w:tcW w:w="993"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拆除</w:t>
            </w:r>
          </w:p>
        </w:tc>
        <w:tc>
          <w:tcPr>
            <w:tcW w:w="2268" w:type="dxa"/>
            <w:tcMar>
              <w:top w:w="0" w:type="dxa"/>
              <w:left w:w="108" w:type="dxa"/>
              <w:bottom w:w="0" w:type="dxa"/>
              <w:right w:w="108" w:type="dxa"/>
            </w:tcMar>
            <w:vAlign w:val="center"/>
          </w:tcPr>
          <w:p>
            <w:pPr>
              <w:jc w:val="center"/>
              <w:rPr>
                <w:rFonts w:hint="eastAsia" w:ascii="宋体" w:hAnsi="宋体" w:cs="宋体"/>
                <w:color w:val="000000"/>
                <w:sz w:val="22"/>
                <w:szCs w:val="22"/>
              </w:rPr>
            </w:pPr>
          </w:p>
        </w:tc>
        <w:tc>
          <w:tcPr>
            <w:tcW w:w="708"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项</w:t>
            </w:r>
          </w:p>
        </w:tc>
        <w:tc>
          <w:tcPr>
            <w:tcW w:w="1134"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993" w:type="dxa"/>
          </w:tcPr>
          <w:p>
            <w:pPr>
              <w:widowControl/>
              <w:spacing w:line="400" w:lineRule="exact"/>
              <w:jc w:val="center"/>
              <w:rPr>
                <w:rFonts w:ascii="Arial" w:hAnsi="Arial" w:eastAsia="仿宋_GB2312" w:cs="Arial"/>
                <w:sz w:val="24"/>
              </w:rPr>
            </w:pPr>
          </w:p>
        </w:tc>
        <w:tc>
          <w:tcPr>
            <w:tcW w:w="992" w:type="dxa"/>
            <w:vAlign w:val="center"/>
          </w:tcPr>
          <w:p>
            <w:pPr>
              <w:widowControl/>
              <w:jc w:val="center"/>
              <w:textAlignment w:val="center"/>
              <w:rPr>
                <w:rFonts w:hint="eastAsia" w:ascii="宋体" w:hAnsi="宋体" w:cs="宋体"/>
                <w:color w:val="000000"/>
                <w:sz w:val="22"/>
                <w:szCs w:val="22"/>
              </w:rPr>
            </w:pPr>
          </w:p>
        </w:tc>
        <w:tc>
          <w:tcPr>
            <w:tcW w:w="1276" w:type="dxa"/>
            <w:tcMar>
              <w:top w:w="0" w:type="dxa"/>
              <w:left w:w="108" w:type="dxa"/>
              <w:bottom w:w="0" w:type="dxa"/>
              <w:right w:w="108" w:type="dxa"/>
            </w:tcMar>
            <w:vAlign w:val="center"/>
          </w:tcPr>
          <w:p>
            <w:pPr>
              <w:widowControl/>
              <w:spacing w:line="400" w:lineRule="exact"/>
              <w:jc w:val="center"/>
              <w:rPr>
                <w:rFonts w:ascii="Arial" w:hAnsi="Arial"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sz w:val="24"/>
              </w:rPr>
            </w:pPr>
            <w:r>
              <w:rPr>
                <w:rFonts w:hint="eastAsia" w:ascii="宋体" w:hAnsi="宋体"/>
                <w:sz w:val="24"/>
              </w:rPr>
              <w:t>9</w:t>
            </w:r>
          </w:p>
        </w:tc>
        <w:tc>
          <w:tcPr>
            <w:tcW w:w="993"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安装</w:t>
            </w:r>
          </w:p>
        </w:tc>
        <w:tc>
          <w:tcPr>
            <w:tcW w:w="2268" w:type="dxa"/>
            <w:tcMar>
              <w:top w:w="0" w:type="dxa"/>
              <w:left w:w="108" w:type="dxa"/>
              <w:bottom w:w="0" w:type="dxa"/>
              <w:right w:w="108" w:type="dxa"/>
            </w:tcMar>
            <w:vAlign w:val="center"/>
          </w:tcPr>
          <w:p>
            <w:pPr>
              <w:jc w:val="center"/>
              <w:rPr>
                <w:rFonts w:hint="eastAsia" w:ascii="宋体" w:hAnsi="宋体" w:cs="宋体"/>
                <w:color w:val="000000"/>
                <w:sz w:val="22"/>
                <w:szCs w:val="22"/>
              </w:rPr>
            </w:pPr>
          </w:p>
        </w:tc>
        <w:tc>
          <w:tcPr>
            <w:tcW w:w="708"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项</w:t>
            </w:r>
          </w:p>
        </w:tc>
        <w:tc>
          <w:tcPr>
            <w:tcW w:w="1134" w:type="dxa"/>
            <w:tcMar>
              <w:top w:w="0" w:type="dxa"/>
              <w:left w:w="108" w:type="dxa"/>
              <w:bottom w:w="0" w:type="dxa"/>
              <w:right w:w="108"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993" w:type="dxa"/>
          </w:tcPr>
          <w:p>
            <w:pPr>
              <w:widowControl/>
              <w:spacing w:line="400" w:lineRule="exact"/>
              <w:jc w:val="center"/>
              <w:rPr>
                <w:rFonts w:ascii="Arial" w:hAnsi="Arial" w:eastAsia="仿宋_GB2312" w:cs="Arial"/>
                <w:sz w:val="24"/>
              </w:rPr>
            </w:pPr>
          </w:p>
        </w:tc>
        <w:tc>
          <w:tcPr>
            <w:tcW w:w="992" w:type="dxa"/>
            <w:vAlign w:val="center"/>
          </w:tcPr>
          <w:p>
            <w:pPr>
              <w:widowControl/>
              <w:jc w:val="center"/>
              <w:textAlignment w:val="center"/>
              <w:rPr>
                <w:rFonts w:hint="eastAsia" w:ascii="宋体" w:hAnsi="宋体" w:cs="宋体"/>
                <w:color w:val="000000"/>
                <w:sz w:val="22"/>
                <w:szCs w:val="22"/>
              </w:rPr>
            </w:pPr>
          </w:p>
        </w:tc>
        <w:tc>
          <w:tcPr>
            <w:tcW w:w="1276" w:type="dxa"/>
            <w:tcMar>
              <w:top w:w="0" w:type="dxa"/>
              <w:left w:w="108" w:type="dxa"/>
              <w:bottom w:w="0" w:type="dxa"/>
              <w:right w:w="108" w:type="dxa"/>
            </w:tcMar>
            <w:vAlign w:val="center"/>
          </w:tcPr>
          <w:p>
            <w:pPr>
              <w:widowControl/>
              <w:spacing w:line="400" w:lineRule="exact"/>
              <w:jc w:val="center"/>
              <w:rPr>
                <w:rFonts w:ascii="Arial" w:hAnsi="Arial"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45" w:hRule="atLeast"/>
        </w:trPr>
        <w:tc>
          <w:tcPr>
            <w:tcW w:w="708" w:type="dxa"/>
            <w:tcMar>
              <w:top w:w="0" w:type="dxa"/>
              <w:left w:w="108" w:type="dxa"/>
              <w:bottom w:w="0" w:type="dxa"/>
              <w:right w:w="108" w:type="dxa"/>
            </w:tcMar>
            <w:vAlign w:val="center"/>
          </w:tcPr>
          <w:p>
            <w:pPr>
              <w:spacing w:line="520" w:lineRule="exact"/>
              <w:jc w:val="center"/>
              <w:rPr>
                <w:rFonts w:hint="eastAsia" w:ascii="宋体" w:hAnsi="宋体"/>
                <w:sz w:val="24"/>
              </w:rPr>
            </w:pPr>
          </w:p>
        </w:tc>
        <w:tc>
          <w:tcPr>
            <w:tcW w:w="993" w:type="dxa"/>
            <w:tcMar>
              <w:top w:w="0" w:type="dxa"/>
              <w:left w:w="108" w:type="dxa"/>
              <w:bottom w:w="0" w:type="dxa"/>
              <w:right w:w="108" w:type="dxa"/>
            </w:tcMar>
            <w:vAlign w:val="center"/>
          </w:tcPr>
          <w:p>
            <w:pPr>
              <w:widowControl/>
              <w:jc w:val="center"/>
              <w:textAlignment w:val="center"/>
              <w:rPr>
                <w:rFonts w:hint="eastAsia" w:ascii="宋体" w:hAnsi="宋体" w:cs="宋体"/>
                <w:color w:val="000000"/>
                <w:kern w:val="0"/>
                <w:sz w:val="22"/>
                <w:szCs w:val="22"/>
              </w:rPr>
            </w:pPr>
          </w:p>
        </w:tc>
        <w:tc>
          <w:tcPr>
            <w:tcW w:w="2268" w:type="dxa"/>
            <w:tcMar>
              <w:top w:w="0" w:type="dxa"/>
              <w:left w:w="108" w:type="dxa"/>
              <w:bottom w:w="0" w:type="dxa"/>
              <w:right w:w="108" w:type="dxa"/>
            </w:tcMar>
            <w:vAlign w:val="center"/>
          </w:tcPr>
          <w:p>
            <w:pPr>
              <w:jc w:val="center"/>
              <w:rPr>
                <w:rFonts w:hint="eastAsia" w:ascii="宋体" w:hAnsi="宋体" w:cs="宋体"/>
                <w:color w:val="000000"/>
                <w:sz w:val="22"/>
                <w:szCs w:val="22"/>
              </w:rPr>
            </w:pPr>
          </w:p>
        </w:tc>
        <w:tc>
          <w:tcPr>
            <w:tcW w:w="708" w:type="dxa"/>
            <w:tcMar>
              <w:top w:w="0" w:type="dxa"/>
              <w:left w:w="108" w:type="dxa"/>
              <w:bottom w:w="0" w:type="dxa"/>
              <w:right w:w="108" w:type="dxa"/>
            </w:tcMar>
            <w:vAlign w:val="center"/>
          </w:tcPr>
          <w:p>
            <w:pPr>
              <w:widowControl/>
              <w:jc w:val="center"/>
              <w:textAlignment w:val="center"/>
              <w:rPr>
                <w:rFonts w:hint="eastAsia" w:ascii="宋体" w:hAnsi="宋体" w:cs="宋体"/>
                <w:color w:val="000000"/>
                <w:kern w:val="0"/>
                <w:sz w:val="22"/>
                <w:szCs w:val="22"/>
              </w:rPr>
            </w:pPr>
          </w:p>
        </w:tc>
        <w:tc>
          <w:tcPr>
            <w:tcW w:w="1134" w:type="dxa"/>
            <w:tcMar>
              <w:top w:w="0" w:type="dxa"/>
              <w:left w:w="108" w:type="dxa"/>
              <w:bottom w:w="0" w:type="dxa"/>
              <w:right w:w="108" w:type="dxa"/>
            </w:tcMar>
            <w:vAlign w:val="center"/>
          </w:tcPr>
          <w:p>
            <w:pPr>
              <w:widowControl/>
              <w:jc w:val="center"/>
              <w:textAlignment w:val="center"/>
              <w:rPr>
                <w:rFonts w:hint="eastAsia" w:ascii="宋体" w:hAnsi="宋体" w:cs="宋体"/>
                <w:color w:val="000000"/>
                <w:kern w:val="0"/>
                <w:sz w:val="22"/>
                <w:szCs w:val="22"/>
              </w:rPr>
            </w:pPr>
          </w:p>
        </w:tc>
        <w:tc>
          <w:tcPr>
            <w:tcW w:w="993" w:type="dxa"/>
          </w:tcPr>
          <w:p>
            <w:pPr>
              <w:widowControl/>
              <w:spacing w:line="400" w:lineRule="exact"/>
              <w:jc w:val="center"/>
              <w:rPr>
                <w:rFonts w:ascii="Arial" w:hAnsi="Arial" w:eastAsia="仿宋_GB2312" w:cs="Arial"/>
                <w:sz w:val="24"/>
              </w:rPr>
            </w:pPr>
          </w:p>
        </w:tc>
        <w:tc>
          <w:tcPr>
            <w:tcW w:w="992" w:type="dxa"/>
            <w:vAlign w:val="center"/>
          </w:tcPr>
          <w:p>
            <w:pPr>
              <w:widowControl/>
              <w:jc w:val="center"/>
              <w:textAlignment w:val="center"/>
              <w:rPr>
                <w:rFonts w:hint="eastAsia" w:ascii="宋体" w:hAnsi="宋体" w:cs="宋体"/>
                <w:color w:val="000000"/>
                <w:sz w:val="22"/>
                <w:szCs w:val="22"/>
              </w:rPr>
            </w:pPr>
          </w:p>
        </w:tc>
        <w:tc>
          <w:tcPr>
            <w:tcW w:w="1276" w:type="dxa"/>
            <w:tcMar>
              <w:top w:w="0" w:type="dxa"/>
              <w:left w:w="108" w:type="dxa"/>
              <w:bottom w:w="0" w:type="dxa"/>
              <w:right w:w="108" w:type="dxa"/>
            </w:tcMar>
            <w:vAlign w:val="center"/>
          </w:tcPr>
          <w:p>
            <w:pPr>
              <w:widowControl/>
              <w:spacing w:line="400" w:lineRule="exact"/>
              <w:jc w:val="center"/>
              <w:rPr>
                <w:rFonts w:ascii="Arial" w:hAnsi="Arial" w:eastAsia="仿宋_GB2312" w:cs="Arial"/>
                <w:sz w:val="24"/>
              </w:rPr>
            </w:pPr>
          </w:p>
        </w:tc>
      </w:tr>
    </w:tbl>
    <w:p>
      <w:pPr>
        <w:pStyle w:val="16"/>
        <w:numPr>
          <w:ilvl w:val="0"/>
          <w:numId w:val="5"/>
        </w:numPr>
        <w:ind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技术要求：</w:t>
      </w:r>
    </w:p>
    <w:p>
      <w:pPr>
        <w:pStyle w:val="16"/>
        <w:spacing w:line="360" w:lineRule="auto"/>
        <w:ind w:left="720" w:firstLine="0" w:firstLineChars="0"/>
        <w:rPr>
          <w:rFonts w:cs="宋体"/>
          <w:sz w:val="28"/>
          <w:szCs w:val="28"/>
        </w:rPr>
      </w:pPr>
      <w:r>
        <w:rPr>
          <w:rFonts w:hint="eastAsia" w:cs="宋体"/>
          <w:sz w:val="28"/>
          <w:szCs w:val="28"/>
        </w:rPr>
        <w:t>1.管道及部件材质（严格按照空调管道行业技术标准要求）、结构及尺寸、管道位置及尺寸均现场落实及自行测量；</w:t>
      </w:r>
    </w:p>
    <w:p>
      <w:pPr>
        <w:pStyle w:val="16"/>
        <w:spacing w:line="360" w:lineRule="auto"/>
        <w:ind w:left="720" w:firstLine="0" w:firstLineChars="0"/>
        <w:rPr>
          <w:rFonts w:cs="宋体"/>
          <w:sz w:val="28"/>
          <w:szCs w:val="28"/>
        </w:rPr>
      </w:pPr>
      <w:r>
        <w:rPr>
          <w:rFonts w:hint="eastAsia" w:cs="宋体"/>
          <w:sz w:val="28"/>
          <w:szCs w:val="28"/>
        </w:rPr>
        <w:t>2.管道及部件制作牢固、平整；管件之间连接要严密、连接牢固可靠；</w:t>
      </w:r>
    </w:p>
    <w:p>
      <w:pPr>
        <w:pStyle w:val="16"/>
        <w:spacing w:line="360" w:lineRule="auto"/>
        <w:ind w:left="720" w:firstLine="0" w:firstLineChars="0"/>
        <w:rPr>
          <w:rFonts w:cs="宋体"/>
          <w:sz w:val="28"/>
          <w:szCs w:val="28"/>
        </w:rPr>
      </w:pPr>
      <w:r>
        <w:rPr>
          <w:rFonts w:hint="eastAsia" w:cs="宋体"/>
          <w:sz w:val="28"/>
          <w:szCs w:val="28"/>
        </w:rPr>
        <w:t>3.</w:t>
      </w:r>
      <w:r>
        <w:rPr>
          <w:rFonts w:hint="eastAsia" w:cs="宋体"/>
          <w:b/>
          <w:sz w:val="28"/>
          <w:szCs w:val="28"/>
        </w:rPr>
        <w:t xml:space="preserve"> 安装方式、位置</w:t>
      </w:r>
      <w:r>
        <w:rPr>
          <w:rFonts w:hint="eastAsia" w:cs="宋体"/>
          <w:sz w:val="28"/>
          <w:szCs w:val="28"/>
        </w:rPr>
        <w:t>:按照招标方要求，投标方负责拆卸原部件及安装新的管道及部件，所需主辅材投标方自备；</w:t>
      </w:r>
    </w:p>
    <w:p>
      <w:pPr>
        <w:pStyle w:val="16"/>
        <w:spacing w:line="360" w:lineRule="auto"/>
        <w:ind w:left="720" w:firstLine="0" w:firstLineChars="0"/>
        <w:rPr>
          <w:rFonts w:cs="宋体"/>
          <w:sz w:val="28"/>
          <w:szCs w:val="28"/>
        </w:rPr>
      </w:pPr>
      <w:r>
        <w:rPr>
          <w:rFonts w:hint="eastAsia" w:cs="宋体"/>
          <w:sz w:val="28"/>
          <w:szCs w:val="28"/>
        </w:rPr>
        <w:t>4.投标方与招标方施工前先签订《安全生产、环保管理协议》，严格遵守招标方公司的相关规章制度，施工中造成的任何人身伤害和财产损失，均由投标方承担全部责任；</w:t>
      </w:r>
    </w:p>
    <w:p>
      <w:pPr>
        <w:pStyle w:val="16"/>
        <w:spacing w:line="360" w:lineRule="auto"/>
        <w:ind w:left="720" w:firstLine="0" w:firstLineChars="0"/>
        <w:rPr>
          <w:rFonts w:cs="宋体"/>
          <w:sz w:val="28"/>
          <w:szCs w:val="28"/>
        </w:rPr>
      </w:pPr>
      <w:r>
        <w:rPr>
          <w:rFonts w:hint="eastAsia" w:cs="宋体"/>
          <w:sz w:val="28"/>
          <w:szCs w:val="28"/>
        </w:rPr>
        <w:t>5.管道及部件制作、运输、卸车、吊装、搬运、就位及所需的工具等费用均由投标方负责；</w:t>
      </w:r>
    </w:p>
    <w:p>
      <w:pPr>
        <w:pStyle w:val="16"/>
        <w:ind w:left="1260" w:firstLine="0" w:firstLineChars="0"/>
        <w:rPr>
          <w:rFonts w:ascii="仿宋_GB2312" w:hAnsi="仿宋_GB2312" w:eastAsia="仿宋_GB2312" w:cs="仿宋_GB2312"/>
          <w:b/>
          <w:sz w:val="28"/>
          <w:szCs w:val="32"/>
        </w:rPr>
      </w:pPr>
      <w:r>
        <w:rPr>
          <w:rFonts w:hint="eastAsia" w:ascii="仿宋_GB2312" w:hAnsi="仿宋_GB2312" w:eastAsia="仿宋_GB2312" w:cs="仿宋_GB2312"/>
          <w:sz w:val="28"/>
          <w:szCs w:val="32"/>
          <w:highlight w:val="yellow"/>
        </w:rPr>
        <w:t>注：建议投标方到铜箔金晖路厂实地落实情况后进行投标。</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三、保证条款</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2.因中标方所供货物给招标方造成环保等其他方面相关损失，中标方需承担全部赔偿责任。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四、交货期及运费</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交货期，自合同签订生效之日起</w:t>
      </w:r>
      <w:r>
        <w:rPr>
          <w:rFonts w:hint="eastAsia" w:ascii="仿宋_GB2312" w:hAnsi="仿宋_GB2312" w:eastAsia="仿宋_GB2312" w:cs="仿宋_GB2312"/>
          <w:sz w:val="28"/>
          <w:szCs w:val="32"/>
          <w:u w:val="single"/>
        </w:rPr>
        <w:t xml:space="preserve"> 20日</w:t>
      </w:r>
      <w:r>
        <w:rPr>
          <w:rFonts w:hint="eastAsia" w:ascii="仿宋_GB2312" w:hAnsi="仿宋_GB2312" w:eastAsia="仿宋_GB2312"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五、有关知识产权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六、售后服务、质量保证：售后服务事项在合同中进行约定。</w:t>
      </w:r>
    </w:p>
    <w:p>
      <w:pPr>
        <w:rPr>
          <w:rFonts w:ascii="仿宋_GB2312" w:hAnsi="仿宋_GB2312" w:eastAsia="仿宋_GB2312" w:cs="仿宋_GB2312"/>
          <w:sz w:val="28"/>
          <w:szCs w:val="32"/>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lvl>
  </w:abstractNum>
  <w:abstractNum w:abstractNumId="3">
    <w:nsid w:val="5AF4F74F"/>
    <w:multiLevelType w:val="singleLevel"/>
    <w:tmpl w:val="5AF4F74F"/>
    <w:lvl w:ilvl="0" w:tentative="0">
      <w:start w:val="2"/>
      <w:numFmt w:val="decimal"/>
      <w:suff w:val="nothing"/>
      <w:lvlText w:val="%1、"/>
      <w:lvlJc w:val="left"/>
    </w:lvl>
  </w:abstractNum>
  <w:abstractNum w:abstractNumId="4">
    <w:nsid w:val="77456881"/>
    <w:multiLevelType w:val="multilevel"/>
    <w:tmpl w:val="77456881"/>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iYjRlMzZhYzVhMWRiYTEwOTFkNDBkMzMzZjRiZDUifQ=="/>
  </w:docVars>
  <w:rsids>
    <w:rsidRoot w:val="14D70820"/>
    <w:rsid w:val="000016AB"/>
    <w:rsid w:val="00010475"/>
    <w:rsid w:val="000140A9"/>
    <w:rsid w:val="0002639C"/>
    <w:rsid w:val="00027922"/>
    <w:rsid w:val="00036F46"/>
    <w:rsid w:val="000400EC"/>
    <w:rsid w:val="000668E7"/>
    <w:rsid w:val="00073964"/>
    <w:rsid w:val="00082C71"/>
    <w:rsid w:val="00085DEC"/>
    <w:rsid w:val="000A04FB"/>
    <w:rsid w:val="000A36E6"/>
    <w:rsid w:val="000C6612"/>
    <w:rsid w:val="000D54A9"/>
    <w:rsid w:val="000F1A23"/>
    <w:rsid w:val="000F2FB0"/>
    <w:rsid w:val="0010092D"/>
    <w:rsid w:val="0010458C"/>
    <w:rsid w:val="001217FC"/>
    <w:rsid w:val="0013572F"/>
    <w:rsid w:val="00142A98"/>
    <w:rsid w:val="0015334E"/>
    <w:rsid w:val="00153B2F"/>
    <w:rsid w:val="001544D9"/>
    <w:rsid w:val="00177105"/>
    <w:rsid w:val="001815FF"/>
    <w:rsid w:val="001A5717"/>
    <w:rsid w:val="001C7E12"/>
    <w:rsid w:val="001D0E12"/>
    <w:rsid w:val="001D6975"/>
    <w:rsid w:val="001E6B98"/>
    <w:rsid w:val="001F3AB8"/>
    <w:rsid w:val="001F5358"/>
    <w:rsid w:val="001F6B53"/>
    <w:rsid w:val="002104F4"/>
    <w:rsid w:val="00210924"/>
    <w:rsid w:val="0021096D"/>
    <w:rsid w:val="002211E3"/>
    <w:rsid w:val="0022225D"/>
    <w:rsid w:val="00242018"/>
    <w:rsid w:val="002427B8"/>
    <w:rsid w:val="00264A49"/>
    <w:rsid w:val="002A0CA1"/>
    <w:rsid w:val="002B1690"/>
    <w:rsid w:val="002D2480"/>
    <w:rsid w:val="002D30F4"/>
    <w:rsid w:val="002E04CD"/>
    <w:rsid w:val="002F48A7"/>
    <w:rsid w:val="002F5ABB"/>
    <w:rsid w:val="00306EC9"/>
    <w:rsid w:val="00311848"/>
    <w:rsid w:val="0031742A"/>
    <w:rsid w:val="0034629D"/>
    <w:rsid w:val="00353AE1"/>
    <w:rsid w:val="00355526"/>
    <w:rsid w:val="00360FD3"/>
    <w:rsid w:val="00363C63"/>
    <w:rsid w:val="003761A2"/>
    <w:rsid w:val="00385165"/>
    <w:rsid w:val="00395CFB"/>
    <w:rsid w:val="003A42FB"/>
    <w:rsid w:val="003B7B9D"/>
    <w:rsid w:val="003E7C96"/>
    <w:rsid w:val="003F2FFF"/>
    <w:rsid w:val="00401E48"/>
    <w:rsid w:val="00434F86"/>
    <w:rsid w:val="00442BA8"/>
    <w:rsid w:val="004452CC"/>
    <w:rsid w:val="00447816"/>
    <w:rsid w:val="00481206"/>
    <w:rsid w:val="004815E2"/>
    <w:rsid w:val="00486300"/>
    <w:rsid w:val="0048716E"/>
    <w:rsid w:val="00491715"/>
    <w:rsid w:val="00496BF6"/>
    <w:rsid w:val="004C1FC6"/>
    <w:rsid w:val="004D7CF2"/>
    <w:rsid w:val="004E4C85"/>
    <w:rsid w:val="004E65D5"/>
    <w:rsid w:val="004F2EB8"/>
    <w:rsid w:val="00515A96"/>
    <w:rsid w:val="0053237F"/>
    <w:rsid w:val="00532B15"/>
    <w:rsid w:val="00543389"/>
    <w:rsid w:val="00544194"/>
    <w:rsid w:val="005B5982"/>
    <w:rsid w:val="005B5E50"/>
    <w:rsid w:val="005D1CFE"/>
    <w:rsid w:val="005D32F2"/>
    <w:rsid w:val="005D5885"/>
    <w:rsid w:val="005E2E79"/>
    <w:rsid w:val="005E6B4B"/>
    <w:rsid w:val="00623702"/>
    <w:rsid w:val="00624F66"/>
    <w:rsid w:val="00631AD5"/>
    <w:rsid w:val="00641833"/>
    <w:rsid w:val="00643949"/>
    <w:rsid w:val="00655BEE"/>
    <w:rsid w:val="00661DC9"/>
    <w:rsid w:val="00663003"/>
    <w:rsid w:val="00670B15"/>
    <w:rsid w:val="00671045"/>
    <w:rsid w:val="00673247"/>
    <w:rsid w:val="00674491"/>
    <w:rsid w:val="0069446D"/>
    <w:rsid w:val="006A6992"/>
    <w:rsid w:val="006B2553"/>
    <w:rsid w:val="006C1E9F"/>
    <w:rsid w:val="006D6272"/>
    <w:rsid w:val="006E034F"/>
    <w:rsid w:val="006F3A14"/>
    <w:rsid w:val="006F569A"/>
    <w:rsid w:val="00702C51"/>
    <w:rsid w:val="007106C3"/>
    <w:rsid w:val="00711421"/>
    <w:rsid w:val="0074530B"/>
    <w:rsid w:val="00746246"/>
    <w:rsid w:val="007576FD"/>
    <w:rsid w:val="00764464"/>
    <w:rsid w:val="00770C6D"/>
    <w:rsid w:val="0077320F"/>
    <w:rsid w:val="007858B7"/>
    <w:rsid w:val="007A7E3F"/>
    <w:rsid w:val="007B17D6"/>
    <w:rsid w:val="007C5761"/>
    <w:rsid w:val="007C623E"/>
    <w:rsid w:val="007D3EC9"/>
    <w:rsid w:val="007D5E12"/>
    <w:rsid w:val="007F32AC"/>
    <w:rsid w:val="00807D12"/>
    <w:rsid w:val="00810526"/>
    <w:rsid w:val="0081621E"/>
    <w:rsid w:val="008269DC"/>
    <w:rsid w:val="00877824"/>
    <w:rsid w:val="008840A4"/>
    <w:rsid w:val="00891C45"/>
    <w:rsid w:val="00891DA5"/>
    <w:rsid w:val="00894F8F"/>
    <w:rsid w:val="0089579B"/>
    <w:rsid w:val="008B12AD"/>
    <w:rsid w:val="008C1FCD"/>
    <w:rsid w:val="008F7671"/>
    <w:rsid w:val="00910DBB"/>
    <w:rsid w:val="00912E27"/>
    <w:rsid w:val="009164F6"/>
    <w:rsid w:val="00924D21"/>
    <w:rsid w:val="0092669F"/>
    <w:rsid w:val="0093535F"/>
    <w:rsid w:val="0095248A"/>
    <w:rsid w:val="00953758"/>
    <w:rsid w:val="00957600"/>
    <w:rsid w:val="00963A40"/>
    <w:rsid w:val="009650B7"/>
    <w:rsid w:val="00983CF6"/>
    <w:rsid w:val="00992878"/>
    <w:rsid w:val="009B67B8"/>
    <w:rsid w:val="009D5B70"/>
    <w:rsid w:val="009D6632"/>
    <w:rsid w:val="009E1157"/>
    <w:rsid w:val="009E1A4D"/>
    <w:rsid w:val="009F5CA6"/>
    <w:rsid w:val="00A156D3"/>
    <w:rsid w:val="00A16ACD"/>
    <w:rsid w:val="00A37EC4"/>
    <w:rsid w:val="00A6047A"/>
    <w:rsid w:val="00A65AC5"/>
    <w:rsid w:val="00A72CEF"/>
    <w:rsid w:val="00A77C00"/>
    <w:rsid w:val="00A80462"/>
    <w:rsid w:val="00A96092"/>
    <w:rsid w:val="00AA2270"/>
    <w:rsid w:val="00AC0A0D"/>
    <w:rsid w:val="00AD3E33"/>
    <w:rsid w:val="00AD5651"/>
    <w:rsid w:val="00AE7E20"/>
    <w:rsid w:val="00B02199"/>
    <w:rsid w:val="00B02A04"/>
    <w:rsid w:val="00B10A69"/>
    <w:rsid w:val="00B142FC"/>
    <w:rsid w:val="00B14D77"/>
    <w:rsid w:val="00B30B3D"/>
    <w:rsid w:val="00B3298E"/>
    <w:rsid w:val="00B37251"/>
    <w:rsid w:val="00B37A75"/>
    <w:rsid w:val="00B637ED"/>
    <w:rsid w:val="00B7015D"/>
    <w:rsid w:val="00B7152E"/>
    <w:rsid w:val="00B75E47"/>
    <w:rsid w:val="00B858A1"/>
    <w:rsid w:val="00BE0350"/>
    <w:rsid w:val="00BE2C08"/>
    <w:rsid w:val="00C0034E"/>
    <w:rsid w:val="00C035CB"/>
    <w:rsid w:val="00C327A2"/>
    <w:rsid w:val="00C354EF"/>
    <w:rsid w:val="00C54657"/>
    <w:rsid w:val="00C56EFB"/>
    <w:rsid w:val="00C61559"/>
    <w:rsid w:val="00C756C1"/>
    <w:rsid w:val="00C84B6A"/>
    <w:rsid w:val="00C867AC"/>
    <w:rsid w:val="00CA062E"/>
    <w:rsid w:val="00CA1D42"/>
    <w:rsid w:val="00CA3662"/>
    <w:rsid w:val="00CA3E05"/>
    <w:rsid w:val="00CB7709"/>
    <w:rsid w:val="00CD3A84"/>
    <w:rsid w:val="00CD6F7D"/>
    <w:rsid w:val="00D23019"/>
    <w:rsid w:val="00D2706D"/>
    <w:rsid w:val="00D3366E"/>
    <w:rsid w:val="00D45633"/>
    <w:rsid w:val="00D64CEE"/>
    <w:rsid w:val="00D67CFC"/>
    <w:rsid w:val="00D813B1"/>
    <w:rsid w:val="00D90689"/>
    <w:rsid w:val="00DA4593"/>
    <w:rsid w:val="00DC474F"/>
    <w:rsid w:val="00DC4BAB"/>
    <w:rsid w:val="00DE7334"/>
    <w:rsid w:val="00E108FE"/>
    <w:rsid w:val="00E15EAC"/>
    <w:rsid w:val="00E225CA"/>
    <w:rsid w:val="00E27497"/>
    <w:rsid w:val="00E43810"/>
    <w:rsid w:val="00E47AC3"/>
    <w:rsid w:val="00E51EA2"/>
    <w:rsid w:val="00E602BD"/>
    <w:rsid w:val="00E713E9"/>
    <w:rsid w:val="00E80FFB"/>
    <w:rsid w:val="00E85F77"/>
    <w:rsid w:val="00E87016"/>
    <w:rsid w:val="00E95A12"/>
    <w:rsid w:val="00EB43AF"/>
    <w:rsid w:val="00EB6A4E"/>
    <w:rsid w:val="00EC43BF"/>
    <w:rsid w:val="00ED6B4A"/>
    <w:rsid w:val="00EF3A07"/>
    <w:rsid w:val="00F04AE1"/>
    <w:rsid w:val="00F1223D"/>
    <w:rsid w:val="00F12F4E"/>
    <w:rsid w:val="00F20309"/>
    <w:rsid w:val="00F3548F"/>
    <w:rsid w:val="00F63D41"/>
    <w:rsid w:val="00F91BDA"/>
    <w:rsid w:val="00F9392B"/>
    <w:rsid w:val="00F94F76"/>
    <w:rsid w:val="00F95172"/>
    <w:rsid w:val="00FB6232"/>
    <w:rsid w:val="00FC5565"/>
    <w:rsid w:val="00FD03BA"/>
    <w:rsid w:val="00FE0EAB"/>
    <w:rsid w:val="00FE7735"/>
    <w:rsid w:val="00FF037C"/>
    <w:rsid w:val="00FF3C3B"/>
    <w:rsid w:val="00FF5E3A"/>
    <w:rsid w:val="052F7BE9"/>
    <w:rsid w:val="07E354E8"/>
    <w:rsid w:val="098B184A"/>
    <w:rsid w:val="0DB77E27"/>
    <w:rsid w:val="0ED27A61"/>
    <w:rsid w:val="107E1436"/>
    <w:rsid w:val="107F16C6"/>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E25152A"/>
    <w:rsid w:val="3FFA719D"/>
    <w:rsid w:val="406C535E"/>
    <w:rsid w:val="45011451"/>
    <w:rsid w:val="49586F36"/>
    <w:rsid w:val="4AC23C30"/>
    <w:rsid w:val="4CA95EBA"/>
    <w:rsid w:val="4DFC6236"/>
    <w:rsid w:val="51AD6F01"/>
    <w:rsid w:val="52D954E2"/>
    <w:rsid w:val="538B5D6C"/>
    <w:rsid w:val="546759DA"/>
    <w:rsid w:val="547C4E2A"/>
    <w:rsid w:val="54C67B58"/>
    <w:rsid w:val="5D054434"/>
    <w:rsid w:val="5EA87FAD"/>
    <w:rsid w:val="6341466A"/>
    <w:rsid w:val="636546D8"/>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9"/>
    <w:qFormat/>
    <w:uiPriority w:val="0"/>
    <w:pPr>
      <w:keepNext/>
      <w:jc w:val="center"/>
      <w:outlineLvl w:val="0"/>
    </w:pPr>
    <w:rPr>
      <w:rFonts w:ascii="Times New Roman" w:hAnsi="Times New Roman" w:cs="Times New Roman"/>
      <w:b/>
      <w:bCs/>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Body Text Indent"/>
    <w:basedOn w:val="1"/>
    <w:link w:val="25"/>
    <w:qFormat/>
    <w:uiPriority w:val="0"/>
    <w:pPr>
      <w:ind w:left="359" w:leftChars="171"/>
    </w:pPr>
    <w:rPr>
      <w:rFonts w:eastAsiaTheme="minorEastAsia"/>
      <w:sz w:val="24"/>
      <w:szCs w:val="20"/>
    </w:r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uiPriority w:val="0"/>
  </w:style>
  <w:style w:type="character" w:customStyle="1" w:styleId="14">
    <w:name w:val="页眉 Char"/>
    <w:basedOn w:val="11"/>
    <w:link w:val="7"/>
    <w:qFormat/>
    <w:uiPriority w:val="0"/>
    <w:rPr>
      <w:rFonts w:eastAsia="宋体"/>
      <w:kern w:val="2"/>
      <w:sz w:val="18"/>
      <w:szCs w:val="18"/>
    </w:rPr>
  </w:style>
  <w:style w:type="character" w:customStyle="1" w:styleId="15">
    <w:name w:val="页脚 Char"/>
    <w:basedOn w:val="11"/>
    <w:link w:val="6"/>
    <w:qFormat/>
    <w:uiPriority w:val="99"/>
    <w:rPr>
      <w:rFonts w:eastAsia="宋体"/>
      <w:kern w:val="2"/>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1"/>
    <w:link w:val="5"/>
    <w:qFormat/>
    <w:uiPriority w:val="0"/>
    <w:rPr>
      <w:rFonts w:eastAsia="宋体"/>
      <w:kern w:val="2"/>
      <w:sz w:val="18"/>
      <w:szCs w:val="18"/>
    </w:rPr>
  </w:style>
  <w:style w:type="character" w:customStyle="1" w:styleId="18">
    <w:name w:val="标题 1 Char"/>
    <w:basedOn w:val="11"/>
    <w:link w:val="2"/>
    <w:qFormat/>
    <w:uiPriority w:val="0"/>
    <w:rPr>
      <w:rFonts w:eastAsia="宋体"/>
      <w:b/>
      <w:bCs/>
      <w:kern w:val="44"/>
      <w:sz w:val="44"/>
      <w:szCs w:val="44"/>
    </w:rPr>
  </w:style>
  <w:style w:type="character" w:customStyle="1" w:styleId="19">
    <w:name w:val="标题 1 Char1"/>
    <w:link w:val="2"/>
    <w:qFormat/>
    <w:uiPriority w:val="0"/>
    <w:rPr>
      <w:rFonts w:ascii="Times New Roman" w:hAnsi="Times New Roman" w:eastAsia="宋体" w:cs="Times New Roman"/>
      <w:b/>
      <w:bCs/>
      <w:kern w:val="2"/>
      <w:sz w:val="28"/>
      <w:szCs w:val="24"/>
    </w:rPr>
  </w:style>
  <w:style w:type="character" w:customStyle="1" w:styleId="20">
    <w:name w:val="页脚 字符"/>
    <w:uiPriority w:val="0"/>
    <w:rPr>
      <w:kern w:val="2"/>
      <w:sz w:val="18"/>
      <w:szCs w:val="18"/>
    </w:rPr>
  </w:style>
  <w:style w:type="character" w:customStyle="1" w:styleId="21">
    <w:name w:val="页眉 字符"/>
    <w:uiPriority w:val="0"/>
    <w:rPr>
      <w:kern w:val="2"/>
      <w:sz w:val="18"/>
      <w:szCs w:val="18"/>
    </w:rPr>
  </w:style>
  <w:style w:type="character" w:customStyle="1" w:styleId="22">
    <w:name w:val="正文文本缩进 Char1"/>
    <w:link w:val="4"/>
    <w:uiPriority w:val="0"/>
    <w:rPr>
      <w:kern w:val="2"/>
      <w:sz w:val="24"/>
    </w:rPr>
  </w:style>
  <w:style w:type="character" w:customStyle="1" w:styleId="23">
    <w:name w:val="批注框文本 字符"/>
    <w:uiPriority w:val="0"/>
    <w:rPr>
      <w:kern w:val="2"/>
      <w:sz w:val="18"/>
      <w:szCs w:val="18"/>
    </w:rPr>
  </w:style>
  <w:style w:type="paragraph" w:customStyle="1" w:styleId="24">
    <w:name w:val="xl24"/>
    <w:basedOn w:val="1"/>
    <w:uiPriority w:val="0"/>
    <w:pPr>
      <w:widowControl/>
      <w:spacing w:before="100" w:beforeAutospacing="1" w:after="100" w:afterAutospacing="1"/>
      <w:jc w:val="center"/>
    </w:pPr>
    <w:rPr>
      <w:rFonts w:ascii="宋体" w:hAnsi="宋体" w:cs="Times New Roman"/>
      <w:kern w:val="0"/>
      <w:sz w:val="24"/>
    </w:rPr>
  </w:style>
  <w:style w:type="character" w:customStyle="1" w:styleId="25">
    <w:name w:val="正文文本缩进 Char"/>
    <w:basedOn w:val="11"/>
    <w:link w:val="4"/>
    <w:semiHidden/>
    <w:uiPriority w:val="0"/>
    <w:rPr>
      <w:rFonts w:eastAsia="宋体"/>
      <w:kern w:val="2"/>
      <w:sz w:val="21"/>
      <w:szCs w:val="24"/>
    </w:rPr>
  </w:style>
  <w:style w:type="paragraph" w:customStyle="1" w:styleId="26">
    <w:name w:val="普通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2219</Words>
  <Characters>2440</Characters>
  <Lines>20</Lines>
  <Paragraphs>5</Paragraphs>
  <TotalTime>696</TotalTime>
  <ScaleCrop>false</ScaleCrop>
  <LinksUpToDate>false</LinksUpToDate>
  <CharactersWithSpaces>2586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2022-10-28T06:30:57Z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0BA1A53BAC694E6DA0CE103FDD14DC6E</vt:lpwstr>
  </property>
</Properties>
</file>