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13" w:firstLineChars="10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山东金宝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电子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设备维修车间建设项目职业卫生三同时报告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山东金宝电子股份有限公司</w:t>
      </w:r>
      <w:r>
        <w:rPr>
          <w:rFonts w:hint="eastAsia"/>
          <w:sz w:val="28"/>
          <w:szCs w:val="28"/>
          <w:lang w:val="en-US" w:eastAsia="zh-CN"/>
        </w:rPr>
        <w:t>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地址为国大路268号，主要生产覆铜板</w:t>
      </w:r>
      <w:r>
        <w:rPr>
          <w:rFonts w:hint="eastAsia"/>
          <w:sz w:val="28"/>
          <w:szCs w:val="28"/>
          <w:lang w:val="zh-CN"/>
        </w:rPr>
        <w:t>；周围均无国家和省级重点文物、古迹、重点保护风景旅游区、疗养院等重点保护目标。</w:t>
      </w:r>
      <w:r>
        <w:rPr>
          <w:sz w:val="28"/>
          <w:szCs w:val="28"/>
        </w:rPr>
        <w:t>公司专业生产电子铜箔、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"https://baike.sogou.com/v1590593.htm"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覆铜板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"https://baike.sogou.com/v5167988.htm"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印制电路板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firstLine="562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二、维修车间建设项目预况：</w:t>
      </w:r>
    </w:p>
    <w:p>
      <w:pPr>
        <w:pStyle w:val="6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36"/>
        </w:rPr>
        <w:t>生产规模</w:t>
      </w:r>
      <w:r>
        <w:rPr>
          <w:rFonts w:hint="eastAsia" w:ascii="宋体" w:hAnsi="宋体" w:eastAsia="宋体" w:cs="宋体"/>
          <w:b w:val="0"/>
          <w:bCs/>
          <w:sz w:val="28"/>
          <w:szCs w:val="36"/>
          <w:lang w:eastAsia="zh-CN"/>
        </w:rPr>
        <w:t>：</w:t>
      </w:r>
    </w:p>
    <w:p>
      <w:pPr>
        <w:spacing w:line="360" w:lineRule="auto"/>
        <w:ind w:firstLine="560"/>
        <w:rPr>
          <w:b w:val="0"/>
          <w:bCs/>
          <w:sz w:val="28"/>
          <w:szCs w:val="36"/>
        </w:rPr>
      </w:pPr>
      <w:r>
        <w:rPr>
          <w:rFonts w:hint="eastAsia"/>
          <w:b w:val="0"/>
          <w:bCs/>
          <w:sz w:val="28"/>
          <w:szCs w:val="36"/>
        </w:rPr>
        <w:t>本项目通过购置先进机加工设备，建立高效的设备检修管理制度，科学、合理地组织检修，提高设备运转率及运行可靠性，确保公司生产系统安全、稳定、连续运行。项目建成后，维修保养设备200台/年。</w:t>
      </w:r>
    </w:p>
    <w:p>
      <w:pPr>
        <w:pStyle w:val="6"/>
        <w:spacing w:line="360" w:lineRule="auto"/>
        <w:ind w:firstLine="562"/>
        <w:rPr>
          <w:rFonts w:hint="eastAsia" w:ascii="宋体" w:hAnsi="宋体" w:eastAsia="宋体" w:cs="宋体"/>
          <w:b w:val="0"/>
          <w:bCs/>
          <w:sz w:val="28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36"/>
        </w:rPr>
        <w:t>、工艺和设备</w:t>
      </w:r>
    </w:p>
    <w:p>
      <w:pPr>
        <w:spacing w:line="360" w:lineRule="auto"/>
        <w:ind w:firstLine="560"/>
        <w:rPr>
          <w:rFonts w:hint="eastAsia" w:ascii="宋体" w:hAnsi="宋体" w:eastAsia="宋体" w:cs="宋体"/>
          <w:b w:val="0"/>
          <w:bCs/>
          <w:sz w:val="28"/>
          <w:szCs w:val="36"/>
        </w:rPr>
      </w:pPr>
      <w:bookmarkStart w:id="0" w:name="_Hlk40078819"/>
      <w:r>
        <w:rPr>
          <w:rFonts w:hint="eastAsia" w:ascii="宋体" w:hAnsi="宋体" w:eastAsia="宋体" w:cs="宋体"/>
          <w:b w:val="0"/>
          <w:bCs/>
          <w:sz w:val="28"/>
          <w:szCs w:val="36"/>
        </w:rPr>
        <w:t>本项目拟新增</w:t>
      </w:r>
      <w:bookmarkEnd w:id="0"/>
      <w:r>
        <w:rPr>
          <w:rFonts w:hint="eastAsia" w:ascii="宋体" w:hAnsi="宋体" w:eastAsia="宋体" w:cs="宋体"/>
          <w:b w:val="0"/>
          <w:bCs/>
          <w:sz w:val="28"/>
          <w:szCs w:val="36"/>
        </w:rPr>
        <w:t>机加工设备44台（套），公辅设备6台（套），办公设备4台（套）。</w:t>
      </w:r>
    </w:p>
    <w:p>
      <w:pPr>
        <w:pStyle w:val="6"/>
        <w:spacing w:line="360" w:lineRule="auto"/>
        <w:ind w:firstLine="562"/>
        <w:rPr>
          <w:rFonts w:hint="eastAsia" w:ascii="宋体" w:hAnsi="宋体" w:eastAsia="宋体" w:cs="宋体"/>
          <w:b w:val="0"/>
          <w:bCs/>
          <w:sz w:val="28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36"/>
        </w:rPr>
        <w:t>、工程方案</w:t>
      </w:r>
    </w:p>
    <w:p>
      <w:pPr>
        <w:spacing w:line="360" w:lineRule="auto"/>
        <w:ind w:firstLine="560"/>
        <w:rPr>
          <w:sz w:val="28"/>
          <w:szCs w:val="36"/>
        </w:rPr>
      </w:pPr>
      <w:r>
        <w:rPr>
          <w:rFonts w:hint="eastAsia"/>
          <w:sz w:val="28"/>
          <w:szCs w:val="40"/>
          <w:shd w:val="clear" w:color="auto" w:fill="FFFFFF" w:themeFill="background1"/>
        </w:rPr>
        <w:t>本项目拟新建设备维修车间，内部分为维修作业区和仓储区，</w:t>
      </w:r>
      <w:r>
        <w:rPr>
          <w:rFonts w:hint="eastAsia"/>
          <w:sz w:val="28"/>
          <w:szCs w:val="40"/>
          <w:shd w:val="clear" w:color="auto" w:fill="FFFFFF" w:themeFill="background1"/>
          <w:lang w:eastAsia="zh-CN"/>
        </w:rPr>
        <w:t>占地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</w:rPr>
        <w:t>面积为</w:t>
      </w:r>
      <w:r>
        <w:rPr>
          <w:sz w:val="28"/>
          <w:szCs w:val="36"/>
          <w:highlight w:val="none"/>
        </w:rPr>
        <w:t>6900m</w:t>
      </w:r>
      <w:r>
        <w:rPr>
          <w:sz w:val="28"/>
          <w:szCs w:val="36"/>
          <w:highlight w:val="none"/>
          <w:vertAlign w:val="superscript"/>
        </w:rPr>
        <w:t>2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  <w:lang w:val="en-US" w:eastAsia="zh-CN"/>
        </w:rPr>
        <w:t>，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</w:rPr>
        <w:t>建筑面积为</w:t>
      </w:r>
      <w:r>
        <w:rPr>
          <w:rFonts w:hint="eastAsia"/>
          <w:sz w:val="28"/>
          <w:szCs w:val="36"/>
          <w:highlight w:val="none"/>
          <w:lang w:eastAsia="zh-CN"/>
        </w:rPr>
        <w:t>4</w:t>
      </w:r>
      <w:r>
        <w:rPr>
          <w:rFonts w:hint="eastAsia"/>
          <w:sz w:val="28"/>
          <w:szCs w:val="36"/>
          <w:highlight w:val="none"/>
          <w:lang w:val="en-US" w:eastAsia="zh-CN"/>
        </w:rPr>
        <w:t>540.8</w:t>
      </w:r>
      <w:r>
        <w:rPr>
          <w:sz w:val="28"/>
          <w:szCs w:val="36"/>
          <w:highlight w:val="none"/>
        </w:rPr>
        <w:t>m</w:t>
      </w:r>
      <w:r>
        <w:rPr>
          <w:sz w:val="28"/>
          <w:szCs w:val="36"/>
          <w:highlight w:val="none"/>
          <w:vertAlign w:val="superscript"/>
        </w:rPr>
        <w:t>2</w:t>
      </w:r>
      <w:r>
        <w:rPr>
          <w:rFonts w:hint="eastAsia"/>
          <w:sz w:val="28"/>
          <w:szCs w:val="40"/>
          <w:highlight w:val="none"/>
          <w:shd w:val="clear" w:color="auto" w:fill="FFFFFF" w:themeFill="background1"/>
        </w:rPr>
        <w:t>。</w:t>
      </w:r>
      <w:r>
        <w:rPr>
          <w:rFonts w:hint="eastAsia"/>
          <w:sz w:val="28"/>
          <w:szCs w:val="40"/>
          <w:shd w:val="clear" w:color="auto" w:fill="FFFFFF" w:themeFill="background1"/>
        </w:rPr>
        <w:t>此外，</w:t>
      </w:r>
      <w:r>
        <w:rPr>
          <w:rFonts w:hint="eastAsia"/>
          <w:sz w:val="28"/>
          <w:szCs w:val="36"/>
        </w:rPr>
        <w:t>为满足生产及办公需要，还将配套完善项目范围内的给排水、供配电、安全环保、消防等公用工程。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三、招标要求：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中标机构应具有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完成</w:t>
      </w:r>
      <w:r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职业病危害预评价、职业病防护设施设计、职业病危害控制效果评价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共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项报告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所需的各项资质，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根据国家、地方及相关行业的法律法规标准规范要求，客观地对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委托的项目进行技术咨询服务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，并进行</w:t>
      </w:r>
      <w:r>
        <w:rPr>
          <w:rFonts w:hint="eastAsia" w:ascii="Calibri" w:hAnsi="Calibri" w:eastAsia="宋体" w:cs="宋体"/>
          <w:color w:val="000000" w:themeColor="text1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职业病危害预评价、职业病防护设施设计、职业病危害控制效果评价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报告编制工作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上述报告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内容必须既符合本公司现行实际，又符合国家、地方各级法律法规。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有法定要求的，提供相关证明，对结果承担责任。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中标机构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的商业机密进行保密，不得将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经营、生产状况及有关技术资料等以任何形式泄露给第三方。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中标机构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提供齐全技术服务资料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后一个月内出具报告初稿并交由专家评审，如需整改应在整改意见出具后一个周内完成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整改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并达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到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专家组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要求，经验收合格后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两天内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出具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最终合格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报告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并交由本公司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中标价格包含所有相关专家评价费用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增值税专用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发票，公司收到合格报告及全额发票后，确认无误，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1月内支付全额费用。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1、投标企业须具备独立法人资格，并具备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，在行业内具有良好口碑，能够按时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工作，出具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spacing w:line="360" w:lineRule="auto"/>
        <w:ind w:right="7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投标保证金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>
      <w:pPr>
        <w:spacing w:line="360" w:lineRule="auto"/>
        <w:ind w:right="7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月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日前</w:t>
      </w:r>
      <w:r>
        <w:rPr>
          <w:rFonts w:hint="eastAsia" w:ascii="宋体" w:hAnsi="宋体" w:eastAsia="宋体" w:cs="宋体"/>
          <w:sz w:val="28"/>
          <w:szCs w:val="28"/>
        </w:rPr>
        <w:t>公户汇款，底单发给商务联系人。</w:t>
      </w:r>
    </w:p>
    <w:p>
      <w:pPr>
        <w:spacing w:line="360" w:lineRule="auto"/>
        <w:ind w:right="70"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汇款资料：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名称：山东金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宝电子股份有限公司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账号：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 xml:space="preserve">5000 6473 3510 017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开户行：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恒丰银行招远支行</w:t>
      </w:r>
    </w:p>
    <w:p>
      <w:pPr>
        <w:spacing w:line="360" w:lineRule="auto"/>
        <w:ind w:left="239" w:leftChars="114" w:right="70"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投标保证金，在竞标结束后，无息返还。中标方投标保证金，在签订合同后，无息返还；中标方放弃中标权利，投标保证金将不予以返还。未缴纳投标保证金、标书费的，一律不能参与开标。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3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lang w:val="en-US" w:eastAsia="zh-CN"/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sz w:val="28"/>
          <w:szCs w:val="28"/>
        </w:rPr>
        <w:t>、标书、报价单发至公司招标邮箱</w:t>
      </w:r>
      <w:r>
        <w:rPr>
          <w:rStyle w:val="5"/>
          <w:rFonts w:hint="eastAsia"/>
          <w:b/>
          <w:bCs/>
          <w:sz w:val="28"/>
          <w:szCs w:val="28"/>
        </w:rPr>
        <w:t>lwenling@chinajinbao.com</w:t>
      </w:r>
      <w:r>
        <w:rPr>
          <w:rFonts w:hint="eastAsia" w:ascii="宋体" w:hAnsi="宋体" w:cs="宋体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或者将密封好的纸质资料邮寄至招远市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国大路268号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供应链管理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5、报价截止时间：2022年9月8日前。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徐海峰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联系电话：15336385008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2022.09.05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873" w:right="896" w:bottom="873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DVlNDQyYTdiNTczNjk2N2NiMDQ4ODYwNmUwNDEifQ=="/>
  </w:docVars>
  <w:rsids>
    <w:rsidRoot w:val="2DA80A8A"/>
    <w:rsid w:val="039D7D05"/>
    <w:rsid w:val="0714028B"/>
    <w:rsid w:val="08132B59"/>
    <w:rsid w:val="0AA84197"/>
    <w:rsid w:val="0B25604C"/>
    <w:rsid w:val="0C573BDF"/>
    <w:rsid w:val="0EB775D4"/>
    <w:rsid w:val="0F8266EF"/>
    <w:rsid w:val="1174640F"/>
    <w:rsid w:val="118F22A1"/>
    <w:rsid w:val="22D72258"/>
    <w:rsid w:val="22FD1AAE"/>
    <w:rsid w:val="241313EF"/>
    <w:rsid w:val="25566ED9"/>
    <w:rsid w:val="27473EFD"/>
    <w:rsid w:val="27A41A87"/>
    <w:rsid w:val="28757E8C"/>
    <w:rsid w:val="2BF72F1B"/>
    <w:rsid w:val="2CB26B38"/>
    <w:rsid w:val="2CD13804"/>
    <w:rsid w:val="2D6E42C0"/>
    <w:rsid w:val="2DA80A8A"/>
    <w:rsid w:val="37835872"/>
    <w:rsid w:val="37BE14E1"/>
    <w:rsid w:val="37C97BE3"/>
    <w:rsid w:val="39001A22"/>
    <w:rsid w:val="39A21BC8"/>
    <w:rsid w:val="3C90131D"/>
    <w:rsid w:val="3E5C4F91"/>
    <w:rsid w:val="406E07F4"/>
    <w:rsid w:val="40D968BF"/>
    <w:rsid w:val="41514457"/>
    <w:rsid w:val="42937916"/>
    <w:rsid w:val="42CD0418"/>
    <w:rsid w:val="47371F6A"/>
    <w:rsid w:val="488070A5"/>
    <w:rsid w:val="48D46A90"/>
    <w:rsid w:val="49916743"/>
    <w:rsid w:val="49EC5AE1"/>
    <w:rsid w:val="4C0E300F"/>
    <w:rsid w:val="4E5456C1"/>
    <w:rsid w:val="5026794E"/>
    <w:rsid w:val="50502E73"/>
    <w:rsid w:val="50FF0FE5"/>
    <w:rsid w:val="51CD55C9"/>
    <w:rsid w:val="523154AC"/>
    <w:rsid w:val="550E2B98"/>
    <w:rsid w:val="557430F6"/>
    <w:rsid w:val="57365F4E"/>
    <w:rsid w:val="58B92EDA"/>
    <w:rsid w:val="5A857714"/>
    <w:rsid w:val="5B9B692D"/>
    <w:rsid w:val="5E961DF9"/>
    <w:rsid w:val="5F456DDD"/>
    <w:rsid w:val="610E4F00"/>
    <w:rsid w:val="63064D41"/>
    <w:rsid w:val="65E355E1"/>
    <w:rsid w:val="66A84A48"/>
    <w:rsid w:val="66DD78DD"/>
    <w:rsid w:val="676B2CF5"/>
    <w:rsid w:val="68ED2997"/>
    <w:rsid w:val="6A8900C8"/>
    <w:rsid w:val="6C271410"/>
    <w:rsid w:val="6DC0129B"/>
    <w:rsid w:val="6FDE06D4"/>
    <w:rsid w:val="707878E9"/>
    <w:rsid w:val="70C65D83"/>
    <w:rsid w:val="73F97095"/>
    <w:rsid w:val="75C52EEB"/>
    <w:rsid w:val="76C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标题4"/>
    <w:basedOn w:val="1"/>
    <w:qFormat/>
    <w:uiPriority w:val="0"/>
    <w:pPr>
      <w:keepNext/>
      <w:keepLines/>
      <w:outlineLvl w:val="3"/>
    </w:pPr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1270</Characters>
  <Lines>0</Lines>
  <Paragraphs>0</Paragraphs>
  <TotalTime>27</TotalTime>
  <ScaleCrop>false</ScaleCrop>
  <LinksUpToDate>false</LinksUpToDate>
  <CharactersWithSpaces>1340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2022-09-05T02:40:03Z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465D5A03ECB04A29868C2CB5EC1BB3F1</vt:lpwstr>
  </property>
</Properties>
</file>