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sz w:val="32"/>
          <w:szCs w:val="32"/>
          <w:u w:val="single"/>
        </w:rPr>
        <w:t>国大路厂地磅改造</w:t>
      </w:r>
      <w:r>
        <w:rPr>
          <w:rFonts w:hint="eastAsia" w:ascii="仿宋" w:hAnsi="仿宋" w:eastAsia="仿宋" w:cs="仿宋"/>
          <w:b/>
          <w:bCs/>
          <w:spacing w:val="10"/>
          <w:sz w:val="28"/>
          <w:szCs w:val="28"/>
          <w:u w:val="single"/>
        </w:rPr>
        <w:t xml:space="preserve">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山东金宝电子股份有限公司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2022年07月</w:t>
      </w:r>
      <w:r>
        <w:rPr>
          <w:rFonts w:hint="eastAsia" w:ascii="仿宋" w:hAnsi="仿宋" w:eastAsia="仿宋" w:cs="仿宋"/>
          <w:spacing w:val="10"/>
          <w:sz w:val="28"/>
          <w:szCs w:val="28"/>
          <w:lang w:val="en-US" w:eastAsia="zh-CN"/>
        </w:rPr>
        <w:t>27</w:t>
      </w:r>
      <w:r>
        <w:rPr>
          <w:rFonts w:hint="eastAsia" w:ascii="仿宋" w:hAnsi="仿宋" w:eastAsia="仿宋" w:cs="仿宋"/>
          <w:spacing w:val="10"/>
          <w:sz w:val="28"/>
          <w:szCs w:val="28"/>
        </w:rPr>
        <w:t xml:space="preserve">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rPr>
        <w:t>“</w:t>
      </w:r>
      <w:r>
        <w:rPr>
          <w:rFonts w:hint="eastAsia" w:ascii="仿宋" w:hAnsi="仿宋" w:eastAsia="仿宋" w:cs="仿宋"/>
          <w:b/>
          <w:sz w:val="32"/>
          <w:szCs w:val="32"/>
          <w:u w:val="single"/>
        </w:rPr>
        <w:t>国大路厂地磅改造</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6"/>
        <w:numPr>
          <w:ilvl w:val="0"/>
          <w:numId w:val="1"/>
        </w:numPr>
        <w:spacing w:line="360" w:lineRule="auto"/>
        <w:ind w:left="720" w:leftChars="0"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w:t>
      </w:r>
      <w:r>
        <w:rPr>
          <w:rFonts w:hint="eastAsia" w:ascii="仿宋" w:hAnsi="仿宋" w:eastAsia="仿宋" w:cs="仿宋"/>
          <w:b/>
          <w:sz w:val="32"/>
          <w:szCs w:val="32"/>
          <w:u w:val="none"/>
        </w:rPr>
        <w:t>国大路厂地磅改造</w:t>
      </w:r>
    </w:p>
    <w:p>
      <w:pPr>
        <w:spacing w:line="360" w:lineRule="auto"/>
        <w:ind w:right="70" w:firstLine="562" w:firstLineChars="200"/>
        <w:rPr>
          <w:rFonts w:ascii="仿宋_GB2312" w:eastAsia="仿宋_GB2312"/>
          <w:b/>
          <w:color w:val="auto"/>
          <w:sz w:val="28"/>
          <w:szCs w:val="28"/>
        </w:rPr>
      </w:pPr>
      <w:r>
        <w:rPr>
          <w:rFonts w:hint="eastAsia" w:ascii="仿宋_GB2312" w:eastAsia="仿宋_GB2312"/>
          <w:b/>
          <w:color w:val="auto"/>
          <w:sz w:val="28"/>
          <w:szCs w:val="28"/>
        </w:rPr>
        <w:t>三、投标时间：</w:t>
      </w:r>
    </w:p>
    <w:p>
      <w:pPr>
        <w:spacing w:line="360" w:lineRule="auto"/>
        <w:ind w:firstLine="1124" w:firstLineChars="400"/>
        <w:rPr>
          <w:rFonts w:hint="default" w:ascii="仿宋_GB2312" w:eastAsia="仿宋_GB2312"/>
          <w:b/>
          <w:color w:val="auto"/>
          <w:sz w:val="28"/>
          <w:szCs w:val="28"/>
          <w:lang w:val="en-US" w:eastAsia="zh-CN"/>
        </w:rPr>
      </w:pPr>
      <w:r>
        <w:rPr>
          <w:rFonts w:hint="eastAsia" w:ascii="仿宋_GB2312" w:eastAsia="仿宋_GB2312"/>
          <w:b/>
          <w:color w:val="auto"/>
          <w:sz w:val="28"/>
          <w:szCs w:val="28"/>
        </w:rPr>
        <w:t>技术投标时间：2022.</w:t>
      </w:r>
      <w:r>
        <w:rPr>
          <w:rFonts w:hint="eastAsia" w:ascii="仿宋_GB2312" w:eastAsia="仿宋_GB2312"/>
          <w:b/>
          <w:color w:val="auto"/>
          <w:sz w:val="28"/>
          <w:szCs w:val="28"/>
          <w:lang w:val="en-US" w:eastAsia="zh-CN"/>
        </w:rPr>
        <w:t>8.03-8.08</w:t>
      </w:r>
    </w:p>
    <w:p>
      <w:pPr>
        <w:spacing w:line="360" w:lineRule="auto"/>
        <w:ind w:firstLine="1124" w:firstLineChars="400"/>
        <w:rPr>
          <w:rFonts w:hint="default" w:ascii="仿宋_GB2312" w:eastAsia="仿宋_GB2312"/>
          <w:bCs/>
          <w:color w:val="auto"/>
          <w:sz w:val="28"/>
          <w:szCs w:val="28"/>
          <w:lang w:val="en-US" w:eastAsia="zh-CN"/>
        </w:rPr>
      </w:pPr>
      <w:r>
        <w:rPr>
          <w:rFonts w:hint="eastAsia" w:ascii="仿宋_GB2312" w:eastAsia="仿宋_GB2312"/>
          <w:b/>
          <w:color w:val="auto"/>
          <w:sz w:val="28"/>
          <w:szCs w:val="28"/>
        </w:rPr>
        <w:t>商务投标时间：2022.</w:t>
      </w:r>
      <w:r>
        <w:rPr>
          <w:rFonts w:hint="eastAsia" w:ascii="仿宋_GB2312" w:eastAsia="仿宋_GB2312"/>
          <w:b/>
          <w:color w:val="auto"/>
          <w:sz w:val="28"/>
          <w:szCs w:val="28"/>
          <w:lang w:val="en-US" w:eastAsia="zh-CN"/>
        </w:rPr>
        <w:t>8.09-8.11</w:t>
      </w:r>
    </w:p>
    <w:p>
      <w:pPr>
        <w:spacing w:line="360" w:lineRule="auto"/>
        <w:ind w:right="70" w:firstLine="562" w:firstLineChars="200"/>
        <w:rPr>
          <w:rFonts w:hint="eastAsia" w:ascii="仿宋_GB2312" w:hAnsi="宋体" w:eastAsia="仿宋_GB2312"/>
          <w:sz w:val="28"/>
          <w:szCs w:val="28"/>
          <w:lang w:eastAsia="zh-CN"/>
        </w:rPr>
      </w:pPr>
      <w:r>
        <w:rPr>
          <w:rFonts w:hint="eastAsia" w:ascii="仿宋_GB2312" w:hAnsi="宋体" w:eastAsia="仿宋_GB2312"/>
          <w:b/>
          <w:bCs/>
          <w:sz w:val="28"/>
          <w:szCs w:val="28"/>
        </w:rPr>
        <w:t>四、技术联系人：</w:t>
      </w:r>
      <w:r>
        <w:rPr>
          <w:rFonts w:hint="eastAsia" w:ascii="仿宋_GB2312" w:hAnsi="宋体" w:eastAsia="仿宋_GB2312"/>
          <w:b/>
          <w:bCs/>
          <w:sz w:val="28"/>
          <w:szCs w:val="28"/>
          <w:lang w:eastAsia="zh-CN"/>
        </w:rPr>
        <w:t>冯任良</w:t>
      </w:r>
    </w:p>
    <w:p>
      <w:pPr>
        <w:spacing w:line="360" w:lineRule="auto"/>
        <w:ind w:right="70" w:firstLine="1124" w:firstLineChars="400"/>
        <w:rPr>
          <w:rFonts w:hint="default" w:ascii="仿宋_GB2312" w:hAnsi="宋体" w:eastAsia="仿宋_GB2312"/>
          <w:sz w:val="28"/>
          <w:szCs w:val="28"/>
          <w:lang w:val="en-US" w:eastAsia="zh-CN"/>
        </w:rPr>
      </w:pPr>
      <w:r>
        <w:rPr>
          <w:rFonts w:hint="eastAsia" w:ascii="仿宋_GB2312" w:hAnsi="宋体" w:eastAsia="仿宋_GB2312"/>
          <w:b/>
          <w:bCs/>
          <w:sz w:val="28"/>
          <w:szCs w:val="28"/>
        </w:rPr>
        <w:t xml:space="preserve">联系方式： </w:t>
      </w:r>
      <w:r>
        <w:rPr>
          <w:rFonts w:hint="eastAsia" w:ascii="仿宋_GB2312" w:hAnsi="宋体" w:eastAsia="仿宋_GB2312"/>
          <w:b/>
          <w:bCs/>
          <w:sz w:val="28"/>
          <w:szCs w:val="28"/>
          <w:lang w:val="en-US" w:eastAsia="zh-CN"/>
        </w:rPr>
        <w:t>13287998686</w:t>
      </w:r>
    </w:p>
    <w:p>
      <w:pPr>
        <w:spacing w:line="620" w:lineRule="exact"/>
        <w:ind w:right="70" w:firstLine="562" w:firstLineChars="200"/>
        <w:rPr>
          <w:rFonts w:hint="eastAsia" w:ascii="仿宋" w:hAnsi="仿宋" w:eastAsia="仿宋" w:cs="仿宋"/>
          <w:b/>
          <w:sz w:val="28"/>
          <w:szCs w:val="28"/>
          <w:lang w:val="en-US" w:eastAsia="zh-CN"/>
        </w:rPr>
      </w:pPr>
      <w:r>
        <w:rPr>
          <w:rFonts w:hint="eastAsia" w:ascii="仿宋" w:hAnsi="仿宋" w:eastAsia="仿宋" w:cs="仿宋"/>
          <w:b/>
          <w:bCs/>
          <w:sz w:val="28"/>
          <w:szCs w:val="28"/>
        </w:rPr>
        <w:t>五、</w:t>
      </w:r>
      <w:r>
        <w:rPr>
          <w:rFonts w:hint="eastAsia" w:ascii="仿宋" w:hAnsi="仿宋" w:eastAsia="仿宋" w:cs="仿宋"/>
          <w:b/>
          <w:sz w:val="28"/>
          <w:szCs w:val="28"/>
        </w:rPr>
        <w:t>商务联系人：</w:t>
      </w:r>
      <w:r>
        <w:rPr>
          <w:rFonts w:hint="eastAsia" w:ascii="仿宋" w:hAnsi="仿宋" w:eastAsia="仿宋" w:cs="仿宋"/>
          <w:b/>
          <w:sz w:val="28"/>
          <w:szCs w:val="28"/>
          <w:lang w:eastAsia="zh-CN"/>
        </w:rPr>
        <w:t>徐海峰</w:t>
      </w:r>
    </w:p>
    <w:p>
      <w:pPr>
        <w:spacing w:line="620" w:lineRule="exact"/>
        <w:ind w:right="70" w:firstLine="560" w:firstLineChars="200"/>
        <w:rPr>
          <w:rFonts w:hint="eastAsia" w:ascii="仿宋" w:hAnsi="仿宋" w:eastAsia="仿宋" w:cs="仿宋"/>
          <w:b/>
          <w:color w:val="FF0000"/>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15336385008</w:t>
      </w:r>
      <w:bookmarkStart w:id="0" w:name="_GoBack"/>
      <w:bookmarkEnd w:id="0"/>
    </w:p>
    <w:p>
      <w:pPr>
        <w:spacing w:line="620" w:lineRule="exact"/>
        <w:ind w:right="7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六、投标地点：</w:t>
      </w:r>
      <w:r>
        <w:rPr>
          <w:rFonts w:hint="eastAsia" w:ascii="仿宋" w:hAnsi="仿宋" w:eastAsia="仿宋" w:cs="仿宋"/>
          <w:sz w:val="28"/>
          <w:szCs w:val="28"/>
        </w:rPr>
        <w:t>山东省招远市</w:t>
      </w:r>
      <w:r>
        <w:rPr>
          <w:rFonts w:hint="eastAsia" w:ascii="仿宋" w:hAnsi="仿宋" w:eastAsia="仿宋" w:cs="仿宋"/>
          <w:sz w:val="28"/>
          <w:szCs w:val="28"/>
          <w:lang w:val="en-US" w:eastAsia="zh-CN"/>
        </w:rPr>
        <w:t>国大路268</w:t>
      </w:r>
      <w:r>
        <w:rPr>
          <w:rFonts w:hint="eastAsia" w:ascii="仿宋" w:hAnsi="仿宋" w:eastAsia="仿宋" w:cs="仿宋"/>
          <w:sz w:val="28"/>
          <w:szCs w:val="28"/>
        </w:rPr>
        <w:t>号</w:t>
      </w:r>
      <w:r>
        <w:rPr>
          <w:rFonts w:hint="eastAsia" w:ascii="仿宋" w:hAnsi="仿宋" w:eastAsia="仿宋" w:cs="仿宋"/>
          <w:sz w:val="28"/>
          <w:szCs w:val="28"/>
          <w:lang w:val="en-US" w:eastAsia="zh-CN"/>
        </w:rPr>
        <w:t>106室</w:t>
      </w:r>
    </w:p>
    <w:p>
      <w:pPr>
        <w:spacing w:line="620" w:lineRule="exact"/>
        <w:ind w:right="7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七、投标保证金</w:t>
      </w:r>
      <w:r>
        <w:rPr>
          <w:rFonts w:hint="eastAsia" w:ascii="仿宋" w:hAnsi="仿宋" w:eastAsia="仿宋" w:cs="仿宋"/>
          <w:sz w:val="28"/>
          <w:szCs w:val="28"/>
        </w:rPr>
        <w:t>：</w:t>
      </w:r>
      <w:r>
        <w:rPr>
          <w:rFonts w:hint="eastAsia" w:ascii="仿宋" w:hAnsi="仿宋" w:eastAsia="仿宋" w:cs="仿宋"/>
          <w:sz w:val="28"/>
          <w:szCs w:val="28"/>
          <w:lang w:val="en-US" w:eastAsia="zh-CN"/>
        </w:rPr>
        <w:t>2000</w:t>
      </w:r>
      <w:r>
        <w:rPr>
          <w:rFonts w:hint="eastAsia" w:ascii="仿宋" w:hAnsi="仿宋" w:eastAsia="仿宋" w:cs="仿宋"/>
          <w:sz w:val="28"/>
          <w:szCs w:val="28"/>
        </w:rPr>
        <w:t>元</w:t>
      </w:r>
    </w:p>
    <w:p>
      <w:pPr>
        <w:spacing w:line="620" w:lineRule="exact"/>
        <w:ind w:right="70" w:firstLine="840" w:firstLineChars="300"/>
        <w:rPr>
          <w:rFonts w:hint="eastAsia" w:ascii="仿宋" w:hAnsi="仿宋" w:eastAsia="仿宋" w:cs="仿宋"/>
          <w:sz w:val="28"/>
          <w:szCs w:val="28"/>
        </w:rPr>
      </w:pPr>
      <w:r>
        <w:rPr>
          <w:rFonts w:hint="eastAsia" w:ascii="仿宋" w:hAnsi="仿宋" w:eastAsia="仿宋" w:cs="仿宋"/>
          <w:sz w:val="28"/>
          <w:szCs w:val="28"/>
        </w:rPr>
        <w:t>请于202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8</w:t>
      </w:r>
      <w:r>
        <w:rPr>
          <w:rFonts w:hint="eastAsia" w:ascii="仿宋" w:hAnsi="仿宋" w:eastAsia="仿宋" w:cs="仿宋"/>
          <w:sz w:val="28"/>
          <w:szCs w:val="28"/>
          <w:u w:val="none"/>
        </w:rPr>
        <w:t xml:space="preserve">月 </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日前</w:t>
      </w:r>
      <w:r>
        <w:rPr>
          <w:rFonts w:hint="eastAsia" w:ascii="仿宋" w:hAnsi="仿宋" w:eastAsia="仿宋" w:cs="仿宋"/>
          <w:sz w:val="28"/>
          <w:szCs w:val="28"/>
        </w:rPr>
        <w:t>公户汇款，底单发给商务联系人。</w:t>
      </w:r>
    </w:p>
    <w:p>
      <w:pPr>
        <w:spacing w:line="360" w:lineRule="auto"/>
        <w:ind w:right="70" w:firstLine="562" w:firstLineChars="200"/>
        <w:rPr>
          <w:rFonts w:hint="eastAsia" w:ascii="仿宋" w:hAnsi="仿宋" w:eastAsia="仿宋" w:cs="仿宋"/>
          <w:b/>
          <w:bCs/>
          <w:sz w:val="28"/>
          <w:szCs w:val="28"/>
        </w:rPr>
      </w:pPr>
      <w:r>
        <w:rPr>
          <w:rFonts w:hint="eastAsia" w:ascii="仿宋" w:hAnsi="仿宋" w:eastAsia="仿宋" w:cs="仿宋"/>
          <w:b/>
          <w:bCs/>
          <w:sz w:val="28"/>
          <w:szCs w:val="28"/>
        </w:rPr>
        <w:t>汇款资料：</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b w:val="0"/>
          <w:bCs/>
          <w:sz w:val="28"/>
          <w:szCs w:val="28"/>
        </w:rPr>
        <w:t>名称：山东金</w:t>
      </w:r>
      <w:r>
        <w:rPr>
          <w:rFonts w:hint="eastAsia" w:ascii="仿宋" w:hAnsi="仿宋" w:eastAsia="仿宋" w:cs="仿宋"/>
          <w:sz w:val="28"/>
          <w:szCs w:val="28"/>
        </w:rPr>
        <w:t>宝电子股份有限公司</w:t>
      </w:r>
    </w:p>
    <w:p>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Cs/>
          <w:sz w:val="28"/>
          <w:szCs w:val="28"/>
        </w:rPr>
        <w:t>账号：</w:t>
      </w:r>
      <w:r>
        <w:rPr>
          <w:rFonts w:hint="eastAsia" w:ascii="仿宋" w:hAnsi="仿宋" w:eastAsia="仿宋" w:cs="仿宋"/>
          <w:bCs/>
          <w:color w:val="000000"/>
          <w:sz w:val="28"/>
          <w:szCs w:val="28"/>
        </w:rPr>
        <w:t xml:space="preserve">5000 6473 3510 017 </w:t>
      </w:r>
    </w:p>
    <w:p>
      <w:pPr>
        <w:widowControl/>
        <w:spacing w:line="360" w:lineRule="auto"/>
        <w:ind w:firstLine="560" w:firstLineChars="200"/>
        <w:jc w:val="left"/>
        <w:rPr>
          <w:rFonts w:hint="eastAsia" w:ascii="仿宋" w:hAnsi="仿宋" w:eastAsia="仿宋" w:cs="仿宋"/>
          <w:b w:val="0"/>
          <w:bCs/>
          <w:color w:val="000000"/>
          <w:sz w:val="28"/>
          <w:szCs w:val="28"/>
        </w:rPr>
      </w:pPr>
      <w:r>
        <w:rPr>
          <w:rFonts w:hint="eastAsia" w:ascii="仿宋" w:hAnsi="仿宋" w:eastAsia="仿宋" w:cs="仿宋"/>
          <w:b w:val="0"/>
          <w:bCs/>
          <w:sz w:val="28"/>
          <w:szCs w:val="28"/>
        </w:rPr>
        <w:t>开户行：</w:t>
      </w:r>
      <w:r>
        <w:rPr>
          <w:rFonts w:hint="eastAsia" w:ascii="仿宋" w:hAnsi="仿宋" w:eastAsia="仿宋" w:cs="仿宋"/>
          <w:b w:val="0"/>
          <w:bCs/>
          <w:color w:val="000000"/>
          <w:sz w:val="28"/>
          <w:szCs w:val="28"/>
        </w:rPr>
        <w:t>恒丰银行招远支行</w:t>
      </w:r>
    </w:p>
    <w:p>
      <w:pPr>
        <w:spacing w:line="360" w:lineRule="auto"/>
        <w:ind w:left="239" w:leftChars="114" w:right="70"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ascii="仿宋" w:hAnsi="仿宋" w:eastAsia="仿宋" w:cs="仿宋"/>
          <w:sz w:val="28"/>
          <w:szCs w:val="28"/>
          <w:lang w:eastAsia="zh-CN"/>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rPr>
        <w:t>技术投标需要将技术方案以邮件的形式发送到我公司技术联系人的邮箱中（联系人：</w:t>
      </w:r>
      <w:r>
        <w:rPr>
          <w:rFonts w:hint="eastAsia" w:ascii="仿宋_GB2312" w:hAnsi="宋体" w:eastAsia="仿宋_GB2312"/>
          <w:b w:val="0"/>
          <w:bCs w:val="0"/>
          <w:sz w:val="28"/>
          <w:szCs w:val="28"/>
          <w:lang w:eastAsia="zh-CN"/>
        </w:rPr>
        <w:t>冯任良</w:t>
      </w:r>
      <w:r>
        <w:rPr>
          <w:rFonts w:hint="eastAsia" w:ascii="仿宋" w:hAnsi="仿宋" w:eastAsia="仿宋" w:cs="仿宋"/>
          <w:b w:val="0"/>
          <w:bCs w:val="0"/>
          <w:color w:val="auto"/>
          <w:sz w:val="28"/>
          <w:szCs w:val="28"/>
          <w:highlight w:val="none"/>
        </w:rPr>
        <w:t>）；商务投标可以将标书邮寄</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直接送达商务投标地点（联系人：</w:t>
      </w:r>
      <w:r>
        <w:rPr>
          <w:rFonts w:hint="eastAsia" w:ascii="仿宋" w:hAnsi="仿宋" w:eastAsia="仿宋" w:cs="仿宋"/>
          <w:b w:val="0"/>
          <w:bCs w:val="0"/>
          <w:color w:val="auto"/>
          <w:sz w:val="28"/>
          <w:szCs w:val="28"/>
          <w:highlight w:val="none"/>
          <w:lang w:eastAsia="zh-CN"/>
        </w:rPr>
        <w:t>徐海峰</w:t>
      </w:r>
      <w:r>
        <w:rPr>
          <w:rFonts w:hint="eastAsia" w:ascii="仿宋" w:hAnsi="仿宋" w:eastAsia="仿宋" w:cs="仿宋"/>
          <w:b w:val="0"/>
          <w:bCs w:val="0"/>
          <w:color w:val="auto"/>
          <w:sz w:val="28"/>
          <w:szCs w:val="28"/>
          <w:highlight w:val="none"/>
        </w:rPr>
        <w:t xml:space="preserve"> ），标书务必要密封</w:t>
      </w:r>
      <w:r>
        <w:rPr>
          <w:rFonts w:hint="eastAsia" w:ascii="仿宋" w:hAnsi="仿宋" w:eastAsia="仿宋" w:cs="仿宋"/>
          <w:b w:val="0"/>
          <w:bCs w:val="0"/>
          <w:color w:val="auto"/>
          <w:sz w:val="28"/>
          <w:szCs w:val="28"/>
          <w:highlight w:val="none"/>
          <w:lang w:eastAsia="zh-CN"/>
        </w:rPr>
        <w:t>。同时投标文件电子版要以</w:t>
      </w:r>
      <w:r>
        <w:rPr>
          <w:rFonts w:hint="eastAsia" w:ascii="仿宋" w:hAnsi="仿宋" w:eastAsia="仿宋" w:cs="仿宋"/>
          <w:color w:val="auto"/>
          <w:sz w:val="28"/>
          <w:szCs w:val="28"/>
          <w:highlight w:val="none"/>
        </w:rPr>
        <w:t>邮件发送到邮箱中：lwenling@chinajinbao.com同时抄送在sdjbzb@163.com</w:t>
      </w:r>
    </w:p>
    <w:p>
      <w:pPr>
        <w:spacing w:line="360" w:lineRule="auto"/>
        <w:ind w:right="70" w:firstLine="562" w:firstLineChars="200"/>
        <w:rPr>
          <w:rFonts w:hint="eastAsia" w:ascii="宋体" w:hAnsi="宋体" w:eastAsia="宋体" w:cs="宋体"/>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highlight w:val="none"/>
        </w:rPr>
      </w:pPr>
    </w:p>
    <w:p>
      <w:pPr>
        <w:spacing w:line="360" w:lineRule="auto"/>
        <w:ind w:right="70"/>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第一部分   投标须知</w:t>
      </w:r>
    </w:p>
    <w:p>
      <w:pPr>
        <w:numPr>
          <w:ilvl w:val="0"/>
          <w:numId w:val="2"/>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投标要求</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①采取弄虚作假的方式，提供虚假的信息或资料；</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②存在不正当竞争，如：串标、陪标现象；</w:t>
      </w:r>
    </w:p>
    <w:p>
      <w:pPr>
        <w:spacing w:line="360" w:lineRule="auto"/>
        <w:ind w:right="70" w:firstLine="642"/>
        <w:rPr>
          <w:rFonts w:ascii="仿宋_GB2312" w:hAnsi="宋体" w:eastAsia="仿宋_GB2312"/>
          <w:sz w:val="28"/>
          <w:szCs w:val="28"/>
          <w:highlight w:val="none"/>
        </w:rPr>
      </w:pPr>
      <w:r>
        <w:rPr>
          <w:rFonts w:hint="eastAsia" w:ascii="仿宋_GB2312" w:hAnsi="仿宋_GB2312" w:eastAsia="仿宋_GB2312" w:cs="仿宋_GB2312"/>
          <w:sz w:val="28"/>
          <w:szCs w:val="28"/>
          <w:highlight w:val="none"/>
        </w:rPr>
        <w:t>③</w:t>
      </w:r>
      <w:r>
        <w:rPr>
          <w:rFonts w:hint="eastAsia" w:ascii="仿宋_GB2312" w:hAnsi="宋体" w:eastAsia="仿宋_GB2312"/>
          <w:sz w:val="28"/>
          <w:szCs w:val="28"/>
          <w:highlight w:val="none"/>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投标无效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有以下情形的投标文件，视为无效：</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逾期未送达投标文件的；</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未按规定递交密封投标文件的；</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投标文件的编制、内容与招标文件存在明显差异或不符的；</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未加盖公章或无授权委托书的；</w:t>
      </w:r>
    </w:p>
    <w:p>
      <w:p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4"/>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项目</w:t>
      </w:r>
      <w:r>
        <w:rPr>
          <w:rFonts w:hint="eastAsia" w:ascii="仿宋_GB2312" w:hAnsi="宋体" w:eastAsia="仿宋_GB2312"/>
          <w:b/>
          <w:sz w:val="28"/>
          <w:szCs w:val="28"/>
          <w:highlight w:val="none"/>
        </w:rPr>
        <w:t>实施案例</w:t>
      </w:r>
      <w:r>
        <w:rPr>
          <w:rFonts w:hint="eastAsia" w:ascii="仿宋_GB2312" w:hAnsi="宋体" w:eastAsia="仿宋_GB2312"/>
          <w:sz w:val="28"/>
          <w:szCs w:val="28"/>
          <w:highlight w:val="none"/>
        </w:rPr>
        <w:t>及相关资料；</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hint="eastAsia"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hint="eastAsia"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2.2、①安装完成验收合格付款90%；②质保金10%（一年后付清）。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lang w:val="en-US" w:eastAsia="zh-CN"/>
        </w:rPr>
        <w:t>60</w:t>
      </w:r>
      <w:r>
        <w:rPr>
          <w:rFonts w:hint="eastAsia" w:ascii="仿宋_GB2312" w:hAnsi="宋体" w:eastAsia="仿宋_GB2312"/>
          <w:sz w:val="28"/>
          <w:szCs w:val="28"/>
          <w:u w:val="single"/>
        </w:rPr>
        <w:t>日</w:t>
      </w:r>
      <w:r>
        <w:rPr>
          <w:rFonts w:hint="eastAsia" w:ascii="仿宋_GB2312" w:hAnsi="宋体" w:eastAsia="仿宋_GB2312"/>
          <w:sz w:val="28"/>
          <w:szCs w:val="28"/>
        </w:rPr>
        <w:t>。</w:t>
      </w:r>
    </w:p>
    <w:p>
      <w:pPr>
        <w:pStyle w:val="16"/>
        <w:spacing w:line="360" w:lineRule="auto"/>
        <w:ind w:left="642" w:right="70" w:firstLine="0" w:firstLineChars="0"/>
        <w:rPr>
          <w:rFonts w:hint="eastAsia" w:ascii="仿宋_GB2312" w:hAnsi="宋体" w:eastAsia="仿宋_GB2312"/>
          <w:sz w:val="28"/>
          <w:szCs w:val="28"/>
          <w:lang w:eastAsia="zh-CN"/>
        </w:rPr>
      </w:pPr>
      <w:r>
        <w:rPr>
          <w:rFonts w:hint="eastAsia" w:ascii="仿宋_GB2312" w:hAnsi="宋体" w:eastAsia="仿宋_GB2312"/>
          <w:sz w:val="28"/>
          <w:szCs w:val="28"/>
        </w:rPr>
        <w:t>2、交货地点：</w:t>
      </w:r>
      <w:r>
        <w:rPr>
          <w:rFonts w:hint="eastAsia" w:ascii="仿宋_GB2312" w:hAnsi="宋体" w:eastAsia="仿宋_GB2312"/>
          <w:sz w:val="28"/>
          <w:szCs w:val="28"/>
          <w:lang w:eastAsia="zh-CN"/>
        </w:rPr>
        <w:t>国大路厂</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ascii="仿宋_GB2312" w:hAnsi="宋体" w:eastAsia="仿宋_GB2312"/>
          <w:b w:val="0"/>
          <w:bCs w:val="0"/>
          <w:sz w:val="28"/>
          <w:szCs w:val="28"/>
        </w:rPr>
      </w:pPr>
      <w:r>
        <w:rPr>
          <w:rFonts w:hint="eastAsia" w:ascii="仿宋_GB2312" w:hAnsi="宋体" w:eastAsia="仿宋_GB2312"/>
          <w:b w:val="0"/>
          <w:bCs w:val="0"/>
          <w:sz w:val="28"/>
          <w:szCs w:val="28"/>
        </w:rPr>
        <w:t>第三部分   技术指标及规格要求</w:t>
      </w:r>
    </w:p>
    <w:p>
      <w:pPr>
        <w:ind w:right="68" w:firstLine="615"/>
        <w:rPr>
          <w:rFonts w:ascii="仿宋" w:hAnsi="仿宋" w:eastAsia="仿宋" w:cs="仿宋"/>
          <w:b w:val="0"/>
          <w:bCs w:val="0"/>
          <w:sz w:val="30"/>
          <w:szCs w:val="30"/>
        </w:rPr>
      </w:pPr>
      <w:r>
        <w:rPr>
          <w:rFonts w:hint="eastAsia" w:ascii="仿宋" w:hAnsi="仿宋" w:eastAsia="仿宋" w:cs="仿宋"/>
          <w:b w:val="0"/>
          <w:bCs w:val="0"/>
          <w:sz w:val="30"/>
          <w:szCs w:val="30"/>
        </w:rPr>
        <w:t>1．国大厂地磅操控主机搬迁至南大库。</w:t>
      </w:r>
    </w:p>
    <w:p>
      <w:pPr>
        <w:ind w:right="68" w:firstLine="615"/>
        <w:rPr>
          <w:rFonts w:ascii="仿宋" w:hAnsi="仿宋" w:eastAsia="仿宋" w:cs="仿宋"/>
          <w:b w:val="0"/>
          <w:bCs w:val="0"/>
          <w:sz w:val="30"/>
          <w:szCs w:val="30"/>
        </w:rPr>
      </w:pPr>
      <w:r>
        <w:rPr>
          <w:rFonts w:hint="eastAsia" w:ascii="仿宋" w:hAnsi="仿宋" w:eastAsia="仿宋" w:cs="仿宋"/>
          <w:b w:val="0"/>
          <w:bCs w:val="0"/>
          <w:sz w:val="30"/>
          <w:szCs w:val="30"/>
        </w:rPr>
        <w:t>2</w:t>
      </w:r>
      <w:r>
        <w:rPr>
          <w:rFonts w:ascii="仿宋" w:hAnsi="仿宋" w:eastAsia="仿宋" w:cs="仿宋"/>
          <w:b w:val="0"/>
          <w:bCs w:val="0"/>
          <w:sz w:val="30"/>
          <w:szCs w:val="30"/>
        </w:rPr>
        <w:t>.</w:t>
      </w:r>
      <w:r>
        <w:rPr>
          <w:rFonts w:hint="eastAsia" w:ascii="仿宋" w:hAnsi="仿宋" w:eastAsia="仿宋" w:cs="仿宋"/>
          <w:b w:val="0"/>
          <w:bCs w:val="0"/>
          <w:sz w:val="30"/>
          <w:szCs w:val="30"/>
        </w:rPr>
        <w:t xml:space="preserve"> 加装六路监控摄像头，品牌为海康，要求过磅时能清晰看到车辆过磅状态以及车内人员情况。</w:t>
      </w:r>
    </w:p>
    <w:p>
      <w:pPr>
        <w:ind w:right="68" w:firstLine="615"/>
        <w:rPr>
          <w:rFonts w:ascii="仿宋" w:hAnsi="仿宋" w:eastAsia="仿宋" w:cs="仿宋"/>
          <w:b w:val="0"/>
          <w:bCs w:val="0"/>
          <w:sz w:val="30"/>
          <w:szCs w:val="30"/>
        </w:rPr>
      </w:pPr>
      <w:r>
        <w:rPr>
          <w:rFonts w:hint="eastAsia" w:ascii="仿宋" w:hAnsi="仿宋" w:eastAsia="仿宋" w:cs="仿宋"/>
          <w:b w:val="0"/>
          <w:bCs w:val="0"/>
          <w:sz w:val="30"/>
          <w:szCs w:val="30"/>
        </w:rPr>
        <w:t>3. 加装车牌识别功能</w:t>
      </w:r>
      <w:r>
        <w:rPr>
          <w:rFonts w:ascii="仿宋" w:hAnsi="仿宋" w:eastAsia="仿宋" w:cs="仿宋"/>
          <w:b w:val="0"/>
          <w:bCs w:val="0"/>
          <w:sz w:val="30"/>
          <w:szCs w:val="30"/>
        </w:rPr>
        <w:t xml:space="preserve"> </w:t>
      </w:r>
      <w:r>
        <w:rPr>
          <w:rFonts w:hint="eastAsia" w:ascii="仿宋" w:hAnsi="仿宋" w:eastAsia="仿宋" w:cs="仿宋"/>
          <w:b w:val="0"/>
          <w:bCs w:val="0"/>
          <w:sz w:val="30"/>
          <w:szCs w:val="30"/>
        </w:rPr>
        <w:t>，识别车牌自动起杆过磅。</w:t>
      </w:r>
    </w:p>
    <w:p>
      <w:pPr>
        <w:ind w:right="68" w:firstLine="615"/>
        <w:rPr>
          <w:rFonts w:ascii="仿宋" w:hAnsi="仿宋" w:eastAsia="仿宋" w:cs="仿宋"/>
          <w:b w:val="0"/>
          <w:bCs w:val="0"/>
          <w:sz w:val="30"/>
          <w:szCs w:val="30"/>
        </w:rPr>
      </w:pPr>
      <w:r>
        <w:rPr>
          <w:rFonts w:hint="eastAsia" w:ascii="仿宋" w:hAnsi="仿宋" w:eastAsia="仿宋" w:cs="仿宋"/>
          <w:b w:val="0"/>
          <w:bCs w:val="0"/>
          <w:sz w:val="30"/>
          <w:szCs w:val="30"/>
        </w:rPr>
        <w:t>4 加装语音播报及对讲功能，加装LED屏幕，司机可以从LED屏幕中看到过磅信息。</w:t>
      </w:r>
    </w:p>
    <w:p>
      <w:pPr>
        <w:ind w:right="68" w:firstLine="615"/>
        <w:rPr>
          <w:rFonts w:ascii="仿宋" w:hAnsi="仿宋" w:eastAsia="仿宋" w:cs="仿宋"/>
          <w:b w:val="0"/>
          <w:bCs w:val="0"/>
          <w:sz w:val="30"/>
          <w:szCs w:val="30"/>
        </w:rPr>
      </w:pPr>
      <w:r>
        <w:rPr>
          <w:rFonts w:hint="eastAsia" w:ascii="仿宋" w:hAnsi="仿宋" w:eastAsia="仿宋" w:cs="仿宋"/>
          <w:b w:val="0"/>
          <w:bCs w:val="0"/>
          <w:sz w:val="30"/>
          <w:szCs w:val="30"/>
        </w:rPr>
        <w:t>4. 地磅软件定制化，与U8ERP进行对接，读取U8销售订单及采购订单数据，并将过磅数据回写进U8ERP。</w:t>
      </w:r>
    </w:p>
    <w:p>
      <w:pPr>
        <w:ind w:right="68" w:firstLine="615"/>
        <w:rPr>
          <w:rFonts w:hint="eastAsia" w:ascii="仿宋" w:hAnsi="仿宋" w:eastAsia="仿宋" w:cs="仿宋"/>
          <w:b w:val="0"/>
          <w:bCs w:val="0"/>
          <w:sz w:val="30"/>
          <w:szCs w:val="30"/>
        </w:rPr>
      </w:pPr>
      <w:r>
        <w:rPr>
          <w:rFonts w:hint="eastAsia" w:ascii="仿宋" w:hAnsi="仿宋" w:eastAsia="仿宋" w:cs="仿宋"/>
          <w:b w:val="0"/>
          <w:bCs w:val="0"/>
          <w:sz w:val="30"/>
          <w:szCs w:val="30"/>
        </w:rPr>
        <w:t>5. 对于甲方提出的地磅软件功能修改，只要是合理范围内中标方要无条件满足。</w:t>
      </w:r>
    </w:p>
    <w:p>
      <w:pPr>
        <w:ind w:right="68" w:firstLine="615"/>
        <w:rPr>
          <w:rFonts w:ascii="仿宋" w:hAnsi="仿宋" w:eastAsia="仿宋" w:cs="仿宋"/>
          <w:b w:val="0"/>
          <w:bCs w:val="0"/>
          <w:sz w:val="30"/>
          <w:szCs w:val="30"/>
        </w:rPr>
      </w:pPr>
      <w:r>
        <w:rPr>
          <w:rFonts w:hint="eastAsia" w:ascii="仿宋" w:hAnsi="仿宋" w:eastAsia="仿宋" w:cs="仿宋"/>
          <w:b w:val="0"/>
          <w:bCs w:val="0"/>
          <w:sz w:val="30"/>
          <w:szCs w:val="30"/>
        </w:rPr>
        <w:t>具体清单如下：</w:t>
      </w:r>
    </w:p>
    <w:tbl>
      <w:tblPr>
        <w:tblStyle w:val="9"/>
        <w:tblW w:w="9874" w:type="dxa"/>
        <w:tblInd w:w="93" w:type="dxa"/>
        <w:tblLayout w:type="autofit"/>
        <w:tblCellMar>
          <w:top w:w="0" w:type="dxa"/>
          <w:left w:w="108" w:type="dxa"/>
          <w:bottom w:w="0" w:type="dxa"/>
          <w:right w:w="108" w:type="dxa"/>
        </w:tblCellMar>
      </w:tblPr>
      <w:tblGrid>
        <w:gridCol w:w="825"/>
        <w:gridCol w:w="1434"/>
        <w:gridCol w:w="730"/>
        <w:gridCol w:w="636"/>
        <w:gridCol w:w="717"/>
        <w:gridCol w:w="798"/>
        <w:gridCol w:w="1935"/>
        <w:gridCol w:w="933"/>
        <w:gridCol w:w="1136"/>
        <w:gridCol w:w="730"/>
      </w:tblGrid>
      <w:tr>
        <w:tblPrEx>
          <w:tblCellMar>
            <w:top w:w="0" w:type="dxa"/>
            <w:left w:w="108" w:type="dxa"/>
            <w:bottom w:w="0" w:type="dxa"/>
            <w:right w:w="108" w:type="dxa"/>
          </w:tblCellMar>
        </w:tblPrEx>
        <w:trPr>
          <w:trHeight w:val="636" w:hRule="atLeast"/>
        </w:trPr>
        <w:tc>
          <w:tcPr>
            <w:tcW w:w="825" w:type="dxa"/>
            <w:tcBorders>
              <w:top w:val="single" w:color="auto" w:sz="8" w:space="0"/>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序号</w:t>
            </w:r>
          </w:p>
        </w:tc>
        <w:tc>
          <w:tcPr>
            <w:tcW w:w="1434" w:type="dxa"/>
            <w:tcBorders>
              <w:top w:val="single" w:color="auto" w:sz="8" w:space="0"/>
              <w:left w:val="nil"/>
              <w:bottom w:val="single" w:color="auto" w:sz="4" w:space="0"/>
              <w:right w:val="single" w:color="auto" w:sz="4" w:space="0"/>
            </w:tcBorders>
            <w:shd w:val="clear" w:color="000000" w:fill="DCE6F1"/>
            <w:vAlign w:val="center"/>
          </w:tcPr>
          <w:p>
            <w:pPr>
              <w:widowControl/>
              <w:jc w:val="left"/>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设备名称</w:t>
            </w:r>
          </w:p>
        </w:tc>
        <w:tc>
          <w:tcPr>
            <w:tcW w:w="730" w:type="dxa"/>
            <w:tcBorders>
              <w:top w:val="single" w:color="auto" w:sz="8" w:space="0"/>
              <w:left w:val="nil"/>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单位</w:t>
            </w:r>
          </w:p>
        </w:tc>
        <w:tc>
          <w:tcPr>
            <w:tcW w:w="636" w:type="dxa"/>
            <w:tcBorders>
              <w:top w:val="single" w:color="auto" w:sz="8" w:space="0"/>
              <w:left w:val="nil"/>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数量</w:t>
            </w:r>
          </w:p>
        </w:tc>
        <w:tc>
          <w:tcPr>
            <w:tcW w:w="717" w:type="dxa"/>
            <w:tcBorders>
              <w:top w:val="single" w:color="auto" w:sz="8" w:space="0"/>
              <w:left w:val="nil"/>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单价</w:t>
            </w:r>
          </w:p>
        </w:tc>
        <w:tc>
          <w:tcPr>
            <w:tcW w:w="798" w:type="dxa"/>
            <w:tcBorders>
              <w:top w:val="single" w:color="auto" w:sz="8" w:space="0"/>
              <w:left w:val="nil"/>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金额</w:t>
            </w:r>
          </w:p>
        </w:tc>
        <w:tc>
          <w:tcPr>
            <w:tcW w:w="1935" w:type="dxa"/>
            <w:tcBorders>
              <w:top w:val="single" w:color="auto" w:sz="8" w:space="0"/>
              <w:left w:val="nil"/>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规格型号</w:t>
            </w:r>
          </w:p>
        </w:tc>
        <w:tc>
          <w:tcPr>
            <w:tcW w:w="933" w:type="dxa"/>
            <w:tcBorders>
              <w:top w:val="single" w:color="auto" w:sz="8" w:space="0"/>
              <w:left w:val="nil"/>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品牌</w:t>
            </w:r>
          </w:p>
        </w:tc>
        <w:tc>
          <w:tcPr>
            <w:tcW w:w="1136" w:type="dxa"/>
            <w:tcBorders>
              <w:top w:val="single" w:color="auto" w:sz="8" w:space="0"/>
              <w:left w:val="nil"/>
              <w:bottom w:val="single" w:color="auto" w:sz="4" w:space="0"/>
              <w:right w:val="single" w:color="auto" w:sz="8"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备注</w:t>
            </w:r>
          </w:p>
        </w:tc>
        <w:tc>
          <w:tcPr>
            <w:tcW w:w="730" w:type="dxa"/>
            <w:tcBorders>
              <w:top w:val="nil"/>
              <w:left w:val="nil"/>
              <w:bottom w:val="nil"/>
              <w:right w:val="nil"/>
            </w:tcBorders>
            <w:shd w:val="clear" w:color="000000" w:fill="FFFFCC"/>
            <w:noWrap/>
            <w:vAlign w:val="bottom"/>
          </w:tcPr>
          <w:p>
            <w:pPr>
              <w:widowControl/>
              <w:jc w:val="left"/>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　</w:t>
            </w:r>
          </w:p>
        </w:tc>
      </w:tr>
      <w:tr>
        <w:tblPrEx>
          <w:tblCellMar>
            <w:top w:w="0" w:type="dxa"/>
            <w:left w:w="108" w:type="dxa"/>
            <w:bottom w:w="0" w:type="dxa"/>
            <w:right w:w="108" w:type="dxa"/>
          </w:tblCellMar>
        </w:tblPrEx>
        <w:trPr>
          <w:trHeight w:val="62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color w:val="000000"/>
                <w:kern w:val="0"/>
                <w:sz w:val="24"/>
              </w:rPr>
            </w:pPr>
            <w:r>
              <w:rPr>
                <w:rFonts w:hint="eastAsia" w:ascii="微软雅黑" w:hAnsi="微软雅黑" w:eastAsia="微软雅黑" w:cs="宋体"/>
                <w:b w:val="0"/>
                <w:bCs w:val="0"/>
                <w:color w:val="000000"/>
                <w:kern w:val="0"/>
                <w:sz w:val="24"/>
              </w:rPr>
              <w:t>(一)</w:t>
            </w:r>
          </w:p>
        </w:tc>
        <w:tc>
          <w:tcPr>
            <w:tcW w:w="7183" w:type="dxa"/>
            <w:gridSpan w:val="7"/>
            <w:tcBorders>
              <w:top w:val="single" w:color="auto" w:sz="4" w:space="0"/>
              <w:left w:val="nil"/>
              <w:bottom w:val="single" w:color="auto" w:sz="4" w:space="0"/>
              <w:right w:val="nil"/>
            </w:tcBorders>
            <w:shd w:val="clear" w:color="000000" w:fill="FFFFFF"/>
            <w:vAlign w:val="center"/>
          </w:tcPr>
          <w:p>
            <w:pPr>
              <w:widowControl/>
              <w:jc w:val="left"/>
              <w:rPr>
                <w:rFonts w:ascii="微软雅黑" w:hAnsi="微软雅黑" w:eastAsia="微软雅黑" w:cs="宋体"/>
                <w:b w:val="0"/>
                <w:bCs w:val="0"/>
                <w:color w:val="000000"/>
                <w:kern w:val="0"/>
                <w:sz w:val="24"/>
              </w:rPr>
            </w:pPr>
            <w:r>
              <w:rPr>
                <w:rFonts w:hint="eastAsia" w:ascii="微软雅黑" w:hAnsi="微软雅黑" w:eastAsia="微软雅黑" w:cs="宋体"/>
                <w:b w:val="0"/>
                <w:bCs w:val="0"/>
                <w:color w:val="000000"/>
                <w:kern w:val="0"/>
                <w:sz w:val="24"/>
              </w:rPr>
              <w:t>AVS车辆定位自动识别语音播报称重管理系统</w:t>
            </w:r>
          </w:p>
        </w:tc>
        <w:tc>
          <w:tcPr>
            <w:tcW w:w="1136"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　</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62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 xml:space="preserve">网络摄像头 </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6</w:t>
            </w:r>
          </w:p>
        </w:tc>
        <w:tc>
          <w:tcPr>
            <w:tcW w:w="71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300万像素；红外夜视</w:t>
            </w:r>
          </w:p>
        </w:tc>
        <w:tc>
          <w:tcPr>
            <w:tcW w:w="933" w:type="dxa"/>
            <w:vMerge w:val="restart"/>
            <w:tcBorders>
              <w:top w:val="nil"/>
              <w:left w:val="single" w:color="auto" w:sz="4" w:space="0"/>
              <w:bottom w:val="single" w:color="000000" w:sz="4" w:space="0"/>
              <w:right w:val="nil"/>
            </w:tcBorders>
            <w:shd w:val="clear" w:color="000000" w:fill="FFFFFF"/>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海康威视一套</w:t>
            </w:r>
          </w:p>
        </w:tc>
        <w:tc>
          <w:tcPr>
            <w:tcW w:w="1136" w:type="dxa"/>
            <w:vMerge w:val="restart"/>
            <w:tcBorders>
              <w:top w:val="nil"/>
              <w:left w:val="single" w:color="auto" w:sz="4" w:space="0"/>
              <w:bottom w:val="single" w:color="000000"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含夜间抓拍补光灯</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62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摄像机固定附件</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个</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6</w:t>
            </w:r>
          </w:p>
        </w:tc>
        <w:tc>
          <w:tcPr>
            <w:tcW w:w="71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万向节和支架等</w:t>
            </w:r>
          </w:p>
        </w:tc>
        <w:tc>
          <w:tcPr>
            <w:tcW w:w="933" w:type="dxa"/>
            <w:vMerge w:val="continue"/>
            <w:tcBorders>
              <w:top w:val="nil"/>
              <w:left w:val="single" w:color="auto" w:sz="4" w:space="0"/>
              <w:bottom w:val="single" w:color="000000" w:sz="4" w:space="0"/>
              <w:right w:val="nil"/>
            </w:tcBorders>
            <w:vAlign w:val="center"/>
          </w:tcPr>
          <w:p>
            <w:pPr>
              <w:widowControl/>
              <w:jc w:val="left"/>
              <w:rPr>
                <w:rFonts w:ascii="微软雅黑" w:hAnsi="微软雅黑" w:eastAsia="微软雅黑" w:cs="宋体"/>
                <w:b w:val="0"/>
                <w:bCs w:val="0"/>
                <w:color w:val="000000"/>
                <w:kern w:val="0"/>
                <w:sz w:val="22"/>
                <w:szCs w:val="22"/>
              </w:rPr>
            </w:pPr>
          </w:p>
        </w:tc>
        <w:tc>
          <w:tcPr>
            <w:tcW w:w="1136" w:type="dxa"/>
            <w:vMerge w:val="continue"/>
            <w:tcBorders>
              <w:top w:val="nil"/>
              <w:left w:val="single" w:color="auto" w:sz="4" w:space="0"/>
              <w:bottom w:val="single" w:color="000000" w:sz="4" w:space="0"/>
              <w:right w:val="single" w:color="auto" w:sz="8" w:space="0"/>
            </w:tcBorders>
            <w:vAlign w:val="center"/>
          </w:tcPr>
          <w:p>
            <w:pPr>
              <w:widowControl/>
              <w:jc w:val="left"/>
              <w:rPr>
                <w:rFonts w:ascii="微软雅黑" w:hAnsi="微软雅黑" w:eastAsia="微软雅黑" w:cs="宋体"/>
                <w:b w:val="0"/>
                <w:bCs w:val="0"/>
                <w:color w:val="FF0000"/>
                <w:kern w:val="0"/>
                <w:sz w:val="22"/>
                <w:szCs w:val="22"/>
              </w:rPr>
            </w:pP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1241"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3</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摄像头专用电源盒</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个</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6</w:t>
            </w:r>
          </w:p>
        </w:tc>
        <w:tc>
          <w:tcPr>
            <w:tcW w:w="71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防水耐用；3C认证；工程塑料外壳</w:t>
            </w:r>
          </w:p>
        </w:tc>
        <w:tc>
          <w:tcPr>
            <w:tcW w:w="933" w:type="dxa"/>
            <w:vMerge w:val="continue"/>
            <w:tcBorders>
              <w:top w:val="nil"/>
              <w:left w:val="single" w:color="auto" w:sz="4" w:space="0"/>
              <w:bottom w:val="single" w:color="000000" w:sz="4" w:space="0"/>
              <w:right w:val="nil"/>
            </w:tcBorders>
            <w:vAlign w:val="center"/>
          </w:tcPr>
          <w:p>
            <w:pPr>
              <w:widowControl/>
              <w:jc w:val="left"/>
              <w:rPr>
                <w:rFonts w:ascii="微软雅黑" w:hAnsi="微软雅黑" w:eastAsia="微软雅黑" w:cs="宋体"/>
                <w:b w:val="0"/>
                <w:bCs w:val="0"/>
                <w:color w:val="000000"/>
                <w:kern w:val="0"/>
                <w:sz w:val="22"/>
                <w:szCs w:val="22"/>
              </w:rPr>
            </w:pPr>
          </w:p>
        </w:tc>
        <w:tc>
          <w:tcPr>
            <w:tcW w:w="1136" w:type="dxa"/>
            <w:vMerge w:val="continue"/>
            <w:tcBorders>
              <w:top w:val="nil"/>
              <w:left w:val="single" w:color="auto" w:sz="4" w:space="0"/>
              <w:bottom w:val="single" w:color="000000" w:sz="4" w:space="0"/>
              <w:right w:val="single" w:color="auto" w:sz="8" w:space="0"/>
            </w:tcBorders>
            <w:vAlign w:val="center"/>
          </w:tcPr>
          <w:p>
            <w:pPr>
              <w:widowControl/>
              <w:jc w:val="left"/>
              <w:rPr>
                <w:rFonts w:ascii="微软雅黑" w:hAnsi="微软雅黑" w:eastAsia="微软雅黑" w:cs="宋体"/>
                <w:b w:val="0"/>
                <w:bCs w:val="0"/>
                <w:color w:val="FF0000"/>
                <w:kern w:val="0"/>
                <w:sz w:val="22"/>
                <w:szCs w:val="22"/>
              </w:rPr>
            </w:pP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1241"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4</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立杆</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6</w:t>
            </w:r>
          </w:p>
        </w:tc>
        <w:tc>
          <w:tcPr>
            <w:tcW w:w="71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标准2.5m（特殊要求定制），配安装固定螺丝</w:t>
            </w:r>
          </w:p>
        </w:tc>
        <w:tc>
          <w:tcPr>
            <w:tcW w:w="933"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定制</w:t>
            </w:r>
          </w:p>
        </w:tc>
        <w:tc>
          <w:tcPr>
            <w:tcW w:w="1136" w:type="dxa"/>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　</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62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5</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交换机</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1</w:t>
            </w:r>
          </w:p>
        </w:tc>
        <w:tc>
          <w:tcPr>
            <w:tcW w:w="717"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 xml:space="preserve"> 千兆8口交换机 </w:t>
            </w:r>
          </w:p>
        </w:tc>
        <w:tc>
          <w:tcPr>
            <w:tcW w:w="933"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val="0"/>
                <w:bCs w:val="0"/>
                <w:color w:val="000000"/>
                <w:kern w:val="0"/>
                <w:szCs w:val="21"/>
              </w:rPr>
            </w:pPr>
            <w:r>
              <w:rPr>
                <w:rFonts w:hint="eastAsia" w:ascii="微软雅黑" w:hAnsi="微软雅黑" w:eastAsia="微软雅黑" w:cs="宋体"/>
                <w:b w:val="0"/>
                <w:bCs w:val="0"/>
                <w:color w:val="000000"/>
                <w:kern w:val="0"/>
                <w:szCs w:val="21"/>
              </w:rPr>
              <w:t>　</w:t>
            </w:r>
          </w:p>
        </w:tc>
        <w:tc>
          <w:tcPr>
            <w:tcW w:w="1136" w:type="dxa"/>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　</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185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6</w:t>
            </w:r>
          </w:p>
        </w:tc>
        <w:tc>
          <w:tcPr>
            <w:tcW w:w="14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报警光幕</w:t>
            </w:r>
          </w:p>
        </w:tc>
        <w:tc>
          <w:tcPr>
            <w:tcW w:w="73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对</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2</w:t>
            </w:r>
          </w:p>
        </w:tc>
        <w:tc>
          <w:tcPr>
            <w:tcW w:w="7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　</w:t>
            </w:r>
          </w:p>
        </w:tc>
        <w:tc>
          <w:tcPr>
            <w:tcW w:w="79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　</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Cs w:val="21"/>
              </w:rPr>
            </w:pPr>
            <w:r>
              <w:rPr>
                <w:rFonts w:hint="eastAsia" w:ascii="微软雅黑" w:hAnsi="微软雅黑" w:eastAsia="微软雅黑" w:cs="宋体"/>
                <w:b w:val="0"/>
                <w:bCs w:val="0"/>
                <w:kern w:val="0"/>
                <w:szCs w:val="21"/>
              </w:rPr>
              <w:t>2光束同时遮断检知式；    感应距离40米； 供电电压：12V；遮挡声音报警</w:t>
            </w:r>
          </w:p>
        </w:tc>
        <w:tc>
          <w:tcPr>
            <w:tcW w:w="933" w:type="dxa"/>
            <w:tcBorders>
              <w:top w:val="nil"/>
              <w:left w:val="nil"/>
              <w:bottom w:val="single" w:color="auto" w:sz="4" w:space="0"/>
              <w:right w:val="nil"/>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136" w:type="dxa"/>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　</w:t>
            </w:r>
          </w:p>
        </w:tc>
        <w:tc>
          <w:tcPr>
            <w:tcW w:w="730" w:type="dxa"/>
            <w:tcBorders>
              <w:top w:val="nil"/>
              <w:left w:val="nil"/>
              <w:bottom w:val="nil"/>
              <w:right w:val="nil"/>
            </w:tcBorders>
            <w:shd w:val="clear" w:color="auto" w:fill="auto"/>
            <w:noWrap/>
            <w:vAlign w:val="center"/>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1241"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7</w:t>
            </w:r>
          </w:p>
        </w:tc>
        <w:tc>
          <w:tcPr>
            <w:tcW w:w="14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不锈钢固定立杆</w:t>
            </w:r>
          </w:p>
        </w:tc>
        <w:tc>
          <w:tcPr>
            <w:tcW w:w="73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根</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4</w:t>
            </w:r>
          </w:p>
        </w:tc>
        <w:tc>
          <w:tcPr>
            <w:tcW w:w="71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　</w:t>
            </w:r>
          </w:p>
        </w:tc>
        <w:tc>
          <w:tcPr>
            <w:tcW w:w="79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　</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Cs w:val="21"/>
              </w:rPr>
            </w:pPr>
            <w:r>
              <w:rPr>
                <w:rFonts w:hint="eastAsia" w:ascii="微软雅黑" w:hAnsi="微软雅黑" w:eastAsia="微软雅黑" w:cs="宋体"/>
                <w:b w:val="0"/>
                <w:bCs w:val="0"/>
                <w:kern w:val="0"/>
                <w:szCs w:val="21"/>
              </w:rPr>
              <w:t>不锈钢材质；高度：1200mm，配安装固定螺丝</w:t>
            </w:r>
          </w:p>
        </w:tc>
        <w:tc>
          <w:tcPr>
            <w:tcW w:w="933" w:type="dxa"/>
            <w:tcBorders>
              <w:top w:val="nil"/>
              <w:left w:val="nil"/>
              <w:bottom w:val="single" w:color="auto" w:sz="4" w:space="0"/>
              <w:right w:val="nil"/>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136" w:type="dxa"/>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固定光栅开关</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185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8</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Cs w:val="21"/>
              </w:rPr>
            </w:pPr>
            <w:r>
              <w:rPr>
                <w:rFonts w:hint="eastAsia" w:ascii="微软雅黑" w:hAnsi="微软雅黑" w:eastAsia="微软雅黑" w:cs="宋体"/>
                <w:b w:val="0"/>
                <w:bCs w:val="0"/>
                <w:kern w:val="0"/>
                <w:szCs w:val="21"/>
              </w:rPr>
              <w:t>语音提示系统</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Cs w:val="21"/>
              </w:rPr>
            </w:pPr>
            <w:r>
              <w:rPr>
                <w:rFonts w:hint="eastAsia" w:ascii="微软雅黑" w:hAnsi="微软雅黑" w:eastAsia="微软雅黑" w:cs="宋体"/>
                <w:b w:val="0"/>
                <w:bCs w:val="0"/>
                <w:kern w:val="0"/>
                <w:szCs w:val="21"/>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Cs w:val="21"/>
              </w:rPr>
            </w:pPr>
            <w:r>
              <w:rPr>
                <w:rFonts w:hint="eastAsia" w:ascii="微软雅黑" w:hAnsi="微软雅黑" w:eastAsia="微软雅黑" w:cs="宋体"/>
                <w:b w:val="0"/>
                <w:bCs w:val="0"/>
                <w:kern w:val="0"/>
                <w:szCs w:val="21"/>
              </w:rPr>
              <w:t>1</w:t>
            </w:r>
          </w:p>
        </w:tc>
        <w:tc>
          <w:tcPr>
            <w:tcW w:w="717"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Cs w:val="21"/>
              </w:rPr>
            </w:pPr>
            <w:r>
              <w:rPr>
                <w:rFonts w:hint="eastAsia" w:ascii="微软雅黑" w:hAnsi="微软雅黑" w:eastAsia="微软雅黑" w:cs="宋体"/>
                <w:b w:val="0"/>
                <w:bCs w:val="0"/>
                <w:kern w:val="0"/>
                <w:szCs w:val="21"/>
              </w:rPr>
              <w:t>整套包含室外铝合金70W防雨音柱、麦克风、150功放和固定附件</w:t>
            </w:r>
          </w:p>
        </w:tc>
        <w:tc>
          <w:tcPr>
            <w:tcW w:w="933"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val="0"/>
                <w:bCs w:val="0"/>
                <w:kern w:val="0"/>
                <w:szCs w:val="21"/>
              </w:rPr>
            </w:pPr>
            <w:r>
              <w:rPr>
                <w:rFonts w:hint="eastAsia" w:ascii="微软雅黑" w:hAnsi="微软雅黑" w:eastAsia="微软雅黑" w:cs="宋体"/>
                <w:b w:val="0"/>
                <w:bCs w:val="0"/>
                <w:kern w:val="0"/>
                <w:szCs w:val="21"/>
              </w:rPr>
              <w:t>　</w:t>
            </w:r>
          </w:p>
        </w:tc>
        <w:tc>
          <w:tcPr>
            <w:tcW w:w="1136" w:type="dxa"/>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　</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185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9</w:t>
            </w:r>
          </w:p>
        </w:tc>
        <w:tc>
          <w:tcPr>
            <w:tcW w:w="14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车号自动识别仪</w:t>
            </w:r>
          </w:p>
        </w:tc>
        <w:tc>
          <w:tcPr>
            <w:tcW w:w="73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台</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w:t>
            </w:r>
          </w:p>
        </w:tc>
        <w:tc>
          <w:tcPr>
            <w:tcW w:w="717"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300万像素\IO控制\全天综合识别率》96%\识别种类超1500+\识别速度＜100ms</w:t>
            </w:r>
          </w:p>
        </w:tc>
        <w:tc>
          <w:tcPr>
            <w:tcW w:w="933" w:type="dxa"/>
            <w:tcBorders>
              <w:top w:val="nil"/>
              <w:left w:val="nil"/>
              <w:bottom w:val="single" w:color="auto" w:sz="4" w:space="0"/>
              <w:right w:val="nil"/>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136"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双向两头前后识别</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62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11</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道闸</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w:t>
            </w:r>
          </w:p>
        </w:tc>
        <w:tc>
          <w:tcPr>
            <w:tcW w:w="717"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3米杆，3秒起落</w:t>
            </w:r>
          </w:p>
        </w:tc>
        <w:tc>
          <w:tcPr>
            <w:tcW w:w="933"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　</w:t>
            </w:r>
          </w:p>
        </w:tc>
        <w:tc>
          <w:tcPr>
            <w:tcW w:w="1136" w:type="dxa"/>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　</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661"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12</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车辆防砸雷达</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w:t>
            </w:r>
          </w:p>
        </w:tc>
        <w:tc>
          <w:tcPr>
            <w:tcW w:w="717"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　</w:t>
            </w:r>
          </w:p>
        </w:tc>
        <w:tc>
          <w:tcPr>
            <w:tcW w:w="193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人车分离，检测率≥99.99%</w:t>
            </w:r>
          </w:p>
        </w:tc>
        <w:tc>
          <w:tcPr>
            <w:tcW w:w="933"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136" w:type="dxa"/>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　</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3087"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13</w:t>
            </w:r>
          </w:p>
        </w:tc>
        <w:tc>
          <w:tcPr>
            <w:tcW w:w="14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工业控制计算机</w:t>
            </w:r>
          </w:p>
        </w:tc>
        <w:tc>
          <w:tcPr>
            <w:tcW w:w="73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台</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w:t>
            </w:r>
          </w:p>
        </w:tc>
        <w:tc>
          <w:tcPr>
            <w:tcW w:w="717"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color w:val="000000"/>
                <w:kern w:val="0"/>
                <w:sz w:val="22"/>
                <w:szCs w:val="22"/>
              </w:rPr>
            </w:pPr>
            <w:r>
              <w:rPr>
                <w:rFonts w:hint="eastAsia" w:ascii="微软雅黑" w:hAnsi="微软雅黑" w:eastAsia="微软雅黑" w:cs="宋体"/>
                <w:b w:val="0"/>
                <w:bCs w:val="0"/>
                <w:color w:val="000000"/>
                <w:kern w:val="0"/>
                <w:sz w:val="22"/>
                <w:szCs w:val="22"/>
              </w:rPr>
              <w:t xml:space="preserve"> 工业主板，I5, 威刚8G DDR4内存，1T HDD硬盘，6串口，8个USB口，GT710 2G独立显卡，300W电源，配置键盘鼠标</w:t>
            </w:r>
          </w:p>
        </w:tc>
        <w:tc>
          <w:tcPr>
            <w:tcW w:w="933"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136"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称重管理系统中，通讯串口接口比较多，不建议用户使用电脑。</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1241"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15</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限速指示牌及固定附件</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w:t>
            </w:r>
          </w:p>
        </w:tc>
        <w:tc>
          <w:tcPr>
            <w:tcW w:w="717"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5KM\H限速指示</w:t>
            </w:r>
          </w:p>
        </w:tc>
        <w:tc>
          <w:tcPr>
            <w:tcW w:w="933"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136" w:type="dxa"/>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　</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1241"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16</w:t>
            </w:r>
          </w:p>
        </w:tc>
        <w:tc>
          <w:tcPr>
            <w:tcW w:w="143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电源稳压器</w:t>
            </w:r>
          </w:p>
        </w:tc>
        <w:tc>
          <w:tcPr>
            <w:tcW w:w="73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台</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w:t>
            </w:r>
          </w:p>
        </w:tc>
        <w:tc>
          <w:tcPr>
            <w:tcW w:w="717"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UPS不间断电源L650VA稳压器 ；360W ；</w:t>
            </w:r>
          </w:p>
        </w:tc>
        <w:tc>
          <w:tcPr>
            <w:tcW w:w="933" w:type="dxa"/>
            <w:tcBorders>
              <w:top w:val="nil"/>
              <w:left w:val="nil"/>
              <w:bottom w:val="single" w:color="auto" w:sz="4" w:space="0"/>
              <w:right w:val="nil"/>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136"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　</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3087"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17</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室内控制柜</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w:t>
            </w:r>
          </w:p>
        </w:tc>
        <w:tc>
          <w:tcPr>
            <w:tcW w:w="717"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碳钢喷塑</w:t>
            </w:r>
          </w:p>
        </w:tc>
        <w:tc>
          <w:tcPr>
            <w:tcW w:w="93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136" w:type="dxa"/>
            <w:tcBorders>
              <w:top w:val="nil"/>
              <w:left w:val="nil"/>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如磅房与汽车衡超过20米建议选配【室外不锈钢网络控制柜】</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185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18</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7寸LED屏</w:t>
            </w:r>
          </w:p>
        </w:tc>
        <w:tc>
          <w:tcPr>
            <w:tcW w:w="73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台</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w:t>
            </w:r>
          </w:p>
        </w:tc>
        <w:tc>
          <w:tcPr>
            <w:tcW w:w="717"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户外防雨</w:t>
            </w:r>
          </w:p>
        </w:tc>
        <w:tc>
          <w:tcPr>
            <w:tcW w:w="93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136" w:type="dxa"/>
            <w:tcBorders>
              <w:top w:val="nil"/>
              <w:left w:val="nil"/>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7寸LED大屏幕，显示地磅当前的称重重量</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3702"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19</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网络版车号识别无人值守称重管理软件（含远程查询端）</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w:t>
            </w:r>
          </w:p>
        </w:tc>
        <w:tc>
          <w:tcPr>
            <w:tcW w:w="717"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车号识别模块\联网模块\查询统计模块\视频抓拍模块\手机APP查询模块\道闸控制模块\红绿灯控制模块\车辆定位模块\遥控器报警模块\称重模块</w:t>
            </w:r>
          </w:p>
        </w:tc>
        <w:tc>
          <w:tcPr>
            <w:tcW w:w="93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136" w:type="dxa"/>
            <w:tcBorders>
              <w:top w:val="nil"/>
              <w:left w:val="nil"/>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客户需求定制</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1241"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20</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硬盘录像机</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w:t>
            </w:r>
          </w:p>
        </w:tc>
        <w:tc>
          <w:tcPr>
            <w:tcW w:w="717"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hint="default" w:ascii="微软雅黑" w:hAnsi="微软雅黑" w:eastAsia="微软雅黑" w:cs="宋体"/>
                <w:b w:val="0"/>
                <w:bCs w:val="0"/>
                <w:kern w:val="0"/>
                <w:sz w:val="22"/>
                <w:szCs w:val="22"/>
                <w:lang w:val="en-US" w:eastAsia="zh-CN"/>
              </w:rPr>
            </w:pPr>
            <w:r>
              <w:rPr>
                <w:rFonts w:hint="eastAsia" w:ascii="微软雅黑" w:hAnsi="微软雅黑" w:eastAsia="微软雅黑" w:cs="宋体"/>
                <w:b w:val="0"/>
                <w:bCs w:val="0"/>
                <w:kern w:val="0"/>
                <w:sz w:val="22"/>
                <w:szCs w:val="22"/>
              </w:rPr>
              <w:t>含硬盘</w:t>
            </w:r>
            <w:r>
              <w:rPr>
                <w:rFonts w:hint="eastAsia" w:ascii="微软雅黑" w:hAnsi="微软雅黑" w:eastAsia="微软雅黑" w:cs="宋体"/>
                <w:b w:val="0"/>
                <w:bCs w:val="0"/>
                <w:kern w:val="0"/>
                <w:sz w:val="22"/>
                <w:szCs w:val="22"/>
                <w:lang w:val="en-US" w:eastAsia="zh-CN"/>
              </w:rPr>
              <w:t>8T</w:t>
            </w:r>
          </w:p>
        </w:tc>
        <w:tc>
          <w:tcPr>
            <w:tcW w:w="93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海康威视一套</w:t>
            </w:r>
          </w:p>
        </w:tc>
        <w:tc>
          <w:tcPr>
            <w:tcW w:w="1136" w:type="dxa"/>
            <w:tcBorders>
              <w:top w:val="nil"/>
              <w:left w:val="nil"/>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　</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r>
        <w:tblPrEx>
          <w:tblCellMar>
            <w:top w:w="0" w:type="dxa"/>
            <w:left w:w="108" w:type="dxa"/>
            <w:bottom w:w="0" w:type="dxa"/>
            <w:right w:w="108" w:type="dxa"/>
          </w:tblCellMar>
        </w:tblPrEx>
        <w:trPr>
          <w:trHeight w:val="62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21</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光电隔离器</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w:t>
            </w:r>
          </w:p>
        </w:tc>
        <w:tc>
          <w:tcPr>
            <w:tcW w:w="717"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有源；型号：2112</w:t>
            </w:r>
          </w:p>
        </w:tc>
        <w:tc>
          <w:tcPr>
            <w:tcW w:w="93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136" w:type="dxa"/>
            <w:tcBorders>
              <w:top w:val="nil"/>
              <w:left w:val="nil"/>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　</w:t>
            </w:r>
          </w:p>
        </w:tc>
        <w:tc>
          <w:tcPr>
            <w:tcW w:w="730" w:type="dxa"/>
            <w:tcBorders>
              <w:top w:val="nil"/>
              <w:left w:val="nil"/>
              <w:bottom w:val="nil"/>
              <w:right w:val="nil"/>
            </w:tcBorders>
            <w:shd w:val="clear" w:color="000000" w:fill="FFFFFF"/>
            <w:noWrap/>
            <w:vAlign w:val="bottom"/>
          </w:tcPr>
          <w:p>
            <w:pPr>
              <w:widowControl/>
              <w:jc w:val="left"/>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　</w:t>
            </w:r>
          </w:p>
        </w:tc>
      </w:tr>
      <w:tr>
        <w:tblPrEx>
          <w:tblCellMar>
            <w:top w:w="0" w:type="dxa"/>
            <w:left w:w="108" w:type="dxa"/>
            <w:bottom w:w="0" w:type="dxa"/>
            <w:right w:w="108" w:type="dxa"/>
          </w:tblCellMar>
        </w:tblPrEx>
        <w:trPr>
          <w:trHeight w:val="62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22</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xml:space="preserve">国标RVV3*0.5 </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米</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515"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所有硬件连接线缆全部包含</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红绿灯控制线、道闸控制线</w:t>
            </w:r>
          </w:p>
        </w:tc>
        <w:tc>
          <w:tcPr>
            <w:tcW w:w="2069" w:type="dxa"/>
            <w:gridSpan w:val="2"/>
            <w:vMerge w:val="restart"/>
            <w:tcBorders>
              <w:top w:val="single" w:color="auto" w:sz="4" w:space="0"/>
              <w:left w:val="single" w:color="auto" w:sz="4" w:space="0"/>
              <w:bottom w:val="single" w:color="000000" w:sz="4" w:space="0"/>
              <w:right w:val="single" w:color="000000"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所需线缆长度，需要根据地磅与磅房的实际距离测量。</w:t>
            </w:r>
          </w:p>
        </w:tc>
        <w:tc>
          <w:tcPr>
            <w:tcW w:w="730" w:type="dxa"/>
            <w:tcBorders>
              <w:top w:val="nil"/>
              <w:left w:val="nil"/>
              <w:bottom w:val="nil"/>
              <w:right w:val="nil"/>
            </w:tcBorders>
            <w:shd w:val="clear" w:color="000000" w:fill="FFFFFF"/>
            <w:noWrap/>
            <w:vAlign w:val="bottom"/>
          </w:tcPr>
          <w:p>
            <w:pPr>
              <w:widowControl/>
              <w:jc w:val="left"/>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　</w:t>
            </w:r>
          </w:p>
        </w:tc>
      </w:tr>
      <w:tr>
        <w:tblPrEx>
          <w:tblCellMar>
            <w:top w:w="0" w:type="dxa"/>
            <w:left w:w="108" w:type="dxa"/>
            <w:bottom w:w="0" w:type="dxa"/>
            <w:right w:w="108" w:type="dxa"/>
          </w:tblCellMar>
        </w:tblPrEx>
        <w:trPr>
          <w:trHeight w:val="62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23</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xml:space="preserve">国标RVV4*0.5 </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米</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515" w:type="dxa"/>
            <w:gridSpan w:val="2"/>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val="0"/>
                <w:bCs w:val="0"/>
                <w:kern w:val="0"/>
                <w:sz w:val="22"/>
                <w:szCs w:val="22"/>
              </w:rPr>
            </w:pP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红外、远距离读卡器</w:t>
            </w:r>
          </w:p>
        </w:tc>
        <w:tc>
          <w:tcPr>
            <w:tcW w:w="2069" w:type="dxa"/>
            <w:gridSpan w:val="2"/>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val="0"/>
                <w:bCs w:val="0"/>
                <w:color w:val="FF0000"/>
                <w:kern w:val="0"/>
                <w:sz w:val="22"/>
                <w:szCs w:val="22"/>
              </w:rPr>
            </w:pPr>
          </w:p>
        </w:tc>
        <w:tc>
          <w:tcPr>
            <w:tcW w:w="730" w:type="dxa"/>
            <w:tcBorders>
              <w:top w:val="nil"/>
              <w:left w:val="nil"/>
              <w:bottom w:val="nil"/>
              <w:right w:val="nil"/>
            </w:tcBorders>
            <w:shd w:val="clear" w:color="000000" w:fill="FFFFFF"/>
            <w:noWrap/>
            <w:vAlign w:val="bottom"/>
          </w:tcPr>
          <w:p>
            <w:pPr>
              <w:widowControl/>
              <w:jc w:val="left"/>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　</w:t>
            </w:r>
          </w:p>
        </w:tc>
      </w:tr>
      <w:tr>
        <w:tblPrEx>
          <w:tblCellMar>
            <w:top w:w="0" w:type="dxa"/>
            <w:left w:w="108" w:type="dxa"/>
            <w:bottom w:w="0" w:type="dxa"/>
            <w:right w:w="108" w:type="dxa"/>
          </w:tblCellMar>
        </w:tblPrEx>
        <w:trPr>
          <w:trHeight w:val="62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24</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xml:space="preserve">国标RVV2*1 </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米</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515" w:type="dxa"/>
            <w:gridSpan w:val="2"/>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val="0"/>
                <w:bCs w:val="0"/>
                <w:kern w:val="0"/>
                <w:sz w:val="22"/>
                <w:szCs w:val="22"/>
              </w:rPr>
            </w:pP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电源线</w:t>
            </w:r>
          </w:p>
        </w:tc>
        <w:tc>
          <w:tcPr>
            <w:tcW w:w="2069" w:type="dxa"/>
            <w:gridSpan w:val="2"/>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val="0"/>
                <w:bCs w:val="0"/>
                <w:color w:val="FF0000"/>
                <w:kern w:val="0"/>
                <w:sz w:val="22"/>
                <w:szCs w:val="22"/>
              </w:rPr>
            </w:pPr>
          </w:p>
        </w:tc>
        <w:tc>
          <w:tcPr>
            <w:tcW w:w="730" w:type="dxa"/>
            <w:tcBorders>
              <w:top w:val="nil"/>
              <w:left w:val="nil"/>
              <w:bottom w:val="nil"/>
              <w:right w:val="nil"/>
            </w:tcBorders>
            <w:shd w:val="clear" w:color="000000" w:fill="FFFFFF"/>
            <w:noWrap/>
            <w:vAlign w:val="bottom"/>
          </w:tcPr>
          <w:p>
            <w:pPr>
              <w:widowControl/>
              <w:jc w:val="left"/>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　</w:t>
            </w:r>
          </w:p>
        </w:tc>
      </w:tr>
      <w:tr>
        <w:tblPrEx>
          <w:tblCellMar>
            <w:top w:w="0" w:type="dxa"/>
            <w:left w:w="108" w:type="dxa"/>
            <w:bottom w:w="0" w:type="dxa"/>
            <w:right w:w="108" w:type="dxa"/>
          </w:tblCellMar>
        </w:tblPrEx>
        <w:trPr>
          <w:trHeight w:val="1241"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25</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国标RVV2*0.5</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米</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515" w:type="dxa"/>
            <w:gridSpan w:val="2"/>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val="0"/>
                <w:bCs w:val="0"/>
                <w:kern w:val="0"/>
                <w:sz w:val="22"/>
                <w:szCs w:val="22"/>
              </w:rPr>
            </w:pP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红外副机电源线、小功率设备供电</w:t>
            </w:r>
          </w:p>
        </w:tc>
        <w:tc>
          <w:tcPr>
            <w:tcW w:w="2069" w:type="dxa"/>
            <w:gridSpan w:val="2"/>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val="0"/>
                <w:bCs w:val="0"/>
                <w:color w:val="FF0000"/>
                <w:kern w:val="0"/>
                <w:sz w:val="22"/>
                <w:szCs w:val="22"/>
              </w:rPr>
            </w:pPr>
          </w:p>
        </w:tc>
        <w:tc>
          <w:tcPr>
            <w:tcW w:w="730" w:type="dxa"/>
            <w:tcBorders>
              <w:top w:val="nil"/>
              <w:left w:val="nil"/>
              <w:bottom w:val="nil"/>
              <w:right w:val="nil"/>
            </w:tcBorders>
            <w:shd w:val="clear" w:color="000000" w:fill="FFFFFF"/>
            <w:noWrap/>
            <w:vAlign w:val="bottom"/>
          </w:tcPr>
          <w:p>
            <w:pPr>
              <w:widowControl/>
              <w:jc w:val="left"/>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　</w:t>
            </w:r>
          </w:p>
        </w:tc>
      </w:tr>
      <w:tr>
        <w:tblPrEx>
          <w:tblCellMar>
            <w:top w:w="0" w:type="dxa"/>
            <w:left w:w="108" w:type="dxa"/>
            <w:bottom w:w="0" w:type="dxa"/>
            <w:right w:w="108" w:type="dxa"/>
          </w:tblCellMar>
        </w:tblPrEx>
        <w:trPr>
          <w:trHeight w:val="626"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26</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xml:space="preserve">超五类网线 </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b w:val="0"/>
                <w:bCs w:val="0"/>
                <w:kern w:val="0"/>
                <w:sz w:val="22"/>
                <w:szCs w:val="22"/>
                <w:lang w:eastAsia="zh-CN"/>
              </w:rPr>
            </w:pPr>
            <w:r>
              <w:rPr>
                <w:rFonts w:hint="eastAsia" w:ascii="微软雅黑" w:hAnsi="微软雅黑" w:eastAsia="微软雅黑" w:cs="宋体"/>
                <w:b w:val="0"/>
                <w:bCs w:val="0"/>
                <w:kern w:val="0"/>
                <w:sz w:val="22"/>
                <w:szCs w:val="22"/>
                <w:lang w:eastAsia="zh-CN"/>
              </w:rPr>
              <w:t>米</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515" w:type="dxa"/>
            <w:gridSpan w:val="2"/>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val="0"/>
                <w:bCs w:val="0"/>
                <w:kern w:val="0"/>
                <w:sz w:val="22"/>
                <w:szCs w:val="22"/>
              </w:rPr>
            </w:pP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摄像头、车号识别仪通讯</w:t>
            </w:r>
          </w:p>
        </w:tc>
        <w:tc>
          <w:tcPr>
            <w:tcW w:w="2069" w:type="dxa"/>
            <w:gridSpan w:val="2"/>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val="0"/>
                <w:bCs w:val="0"/>
                <w:color w:val="FF0000"/>
                <w:kern w:val="0"/>
                <w:sz w:val="22"/>
                <w:szCs w:val="22"/>
              </w:rPr>
            </w:pPr>
          </w:p>
        </w:tc>
        <w:tc>
          <w:tcPr>
            <w:tcW w:w="730" w:type="dxa"/>
            <w:tcBorders>
              <w:top w:val="nil"/>
              <w:left w:val="nil"/>
              <w:bottom w:val="nil"/>
              <w:right w:val="nil"/>
            </w:tcBorders>
            <w:shd w:val="clear" w:color="000000" w:fill="FFFFFF"/>
            <w:noWrap/>
            <w:vAlign w:val="bottom"/>
          </w:tcPr>
          <w:p>
            <w:pPr>
              <w:widowControl/>
              <w:jc w:val="left"/>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　</w:t>
            </w:r>
          </w:p>
        </w:tc>
      </w:tr>
      <w:tr>
        <w:tblPrEx>
          <w:tblCellMar>
            <w:top w:w="0" w:type="dxa"/>
            <w:left w:w="108" w:type="dxa"/>
            <w:bottom w:w="0" w:type="dxa"/>
            <w:right w:w="108" w:type="dxa"/>
          </w:tblCellMar>
        </w:tblPrEx>
        <w:trPr>
          <w:trHeight w:val="1241" w:hRule="atLeast"/>
        </w:trPr>
        <w:tc>
          <w:tcPr>
            <w:tcW w:w="825" w:type="dxa"/>
            <w:tcBorders>
              <w:top w:val="nil"/>
              <w:left w:val="single" w:color="auto" w:sz="8" w:space="0"/>
              <w:bottom w:val="single" w:color="auto" w:sz="4" w:space="0"/>
              <w:right w:val="single" w:color="auto" w:sz="4" w:space="0"/>
            </w:tcBorders>
            <w:shd w:val="clear" w:color="000000" w:fill="DCE6F1"/>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27</w:t>
            </w:r>
          </w:p>
        </w:tc>
        <w:tc>
          <w:tcPr>
            <w:tcW w:w="14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爱普生635针式打印机</w:t>
            </w:r>
          </w:p>
        </w:tc>
        <w:tc>
          <w:tcPr>
            <w:tcW w:w="73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1</w:t>
            </w:r>
          </w:p>
        </w:tc>
        <w:tc>
          <w:tcPr>
            <w:tcW w:w="717"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79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193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　</w:t>
            </w:r>
          </w:p>
        </w:tc>
        <w:tc>
          <w:tcPr>
            <w:tcW w:w="93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val="0"/>
                <w:bCs w:val="0"/>
                <w:kern w:val="0"/>
                <w:sz w:val="22"/>
                <w:szCs w:val="22"/>
              </w:rPr>
            </w:pPr>
            <w:r>
              <w:rPr>
                <w:rFonts w:hint="eastAsia" w:ascii="微软雅黑" w:hAnsi="微软雅黑" w:eastAsia="微软雅黑" w:cs="宋体"/>
                <w:b w:val="0"/>
                <w:bCs w:val="0"/>
                <w:kern w:val="0"/>
                <w:sz w:val="22"/>
                <w:szCs w:val="22"/>
              </w:rPr>
              <w:t>爱普生</w:t>
            </w:r>
          </w:p>
        </w:tc>
        <w:tc>
          <w:tcPr>
            <w:tcW w:w="1136" w:type="dxa"/>
            <w:tcBorders>
              <w:top w:val="nil"/>
              <w:left w:val="nil"/>
              <w:bottom w:val="single" w:color="auto" w:sz="4" w:space="0"/>
              <w:right w:val="single" w:color="auto" w:sz="8" w:space="0"/>
            </w:tcBorders>
            <w:shd w:val="clear" w:color="000000" w:fill="FFFFFF"/>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　</w:t>
            </w:r>
          </w:p>
        </w:tc>
        <w:tc>
          <w:tcPr>
            <w:tcW w:w="730" w:type="dxa"/>
            <w:tcBorders>
              <w:top w:val="nil"/>
              <w:left w:val="nil"/>
              <w:bottom w:val="nil"/>
              <w:right w:val="nil"/>
            </w:tcBorders>
            <w:shd w:val="clear" w:color="000000" w:fill="FFFFFF"/>
            <w:noWrap/>
            <w:vAlign w:val="bottom"/>
          </w:tcPr>
          <w:p>
            <w:pPr>
              <w:widowControl/>
              <w:jc w:val="left"/>
              <w:rPr>
                <w:rFonts w:ascii="微软雅黑" w:hAnsi="微软雅黑" w:eastAsia="微软雅黑" w:cs="宋体"/>
                <w:b w:val="0"/>
                <w:bCs w:val="0"/>
                <w:kern w:val="0"/>
                <w:sz w:val="24"/>
              </w:rPr>
            </w:pPr>
            <w:r>
              <w:rPr>
                <w:rFonts w:hint="eastAsia" w:ascii="微软雅黑" w:hAnsi="微软雅黑" w:eastAsia="微软雅黑" w:cs="宋体"/>
                <w:b w:val="0"/>
                <w:bCs w:val="0"/>
                <w:kern w:val="0"/>
                <w:sz w:val="24"/>
              </w:rPr>
              <w:t>　</w:t>
            </w:r>
          </w:p>
        </w:tc>
      </w:tr>
      <w:tr>
        <w:tblPrEx>
          <w:tblCellMar>
            <w:top w:w="0" w:type="dxa"/>
            <w:left w:w="108" w:type="dxa"/>
            <w:bottom w:w="0" w:type="dxa"/>
            <w:right w:w="108" w:type="dxa"/>
          </w:tblCellMar>
        </w:tblPrEx>
        <w:trPr>
          <w:trHeight w:val="626" w:hRule="atLeast"/>
        </w:trPr>
        <w:tc>
          <w:tcPr>
            <w:tcW w:w="825" w:type="dxa"/>
            <w:tcBorders>
              <w:top w:val="nil"/>
              <w:left w:val="single" w:color="auto" w:sz="8" w:space="0"/>
              <w:bottom w:val="nil"/>
              <w:right w:val="single" w:color="auto" w:sz="4" w:space="0"/>
            </w:tcBorders>
            <w:shd w:val="clear" w:color="000000" w:fill="DCE6F1"/>
            <w:vAlign w:val="center"/>
          </w:tcPr>
          <w:p>
            <w:pPr>
              <w:widowControl/>
              <w:jc w:val="center"/>
              <w:rPr>
                <w:rFonts w:ascii="微软雅黑" w:hAnsi="微软雅黑" w:eastAsia="微软雅黑" w:cs="宋体"/>
                <w:b w:val="0"/>
                <w:bCs w:val="0"/>
                <w:kern w:val="0"/>
                <w:sz w:val="36"/>
                <w:szCs w:val="36"/>
              </w:rPr>
            </w:pPr>
            <w:r>
              <w:rPr>
                <w:rFonts w:hint="eastAsia" w:ascii="微软雅黑" w:hAnsi="微软雅黑" w:eastAsia="微软雅黑" w:cs="宋体"/>
                <w:b w:val="0"/>
                <w:bCs w:val="0"/>
                <w:kern w:val="0"/>
                <w:sz w:val="36"/>
                <w:szCs w:val="36"/>
              </w:rPr>
              <w:t>　</w:t>
            </w:r>
          </w:p>
        </w:tc>
        <w:tc>
          <w:tcPr>
            <w:tcW w:w="1434" w:type="dxa"/>
            <w:tcBorders>
              <w:top w:val="nil"/>
              <w:left w:val="nil"/>
              <w:bottom w:val="nil"/>
              <w:right w:val="single" w:color="auto" w:sz="4" w:space="0"/>
            </w:tcBorders>
            <w:shd w:val="clear" w:color="auto" w:fill="auto"/>
            <w:vAlign w:val="center"/>
          </w:tcPr>
          <w:p>
            <w:pPr>
              <w:widowControl/>
              <w:jc w:val="left"/>
              <w:rPr>
                <w:rFonts w:ascii="微软雅黑" w:hAnsi="微软雅黑" w:eastAsia="微软雅黑" w:cs="宋体"/>
                <w:b w:val="0"/>
                <w:bCs w:val="0"/>
                <w:kern w:val="0"/>
                <w:sz w:val="36"/>
                <w:szCs w:val="36"/>
              </w:rPr>
            </w:pPr>
            <w:r>
              <w:rPr>
                <w:rFonts w:hint="eastAsia" w:ascii="微软雅黑" w:hAnsi="微软雅黑" w:eastAsia="微软雅黑" w:cs="宋体"/>
                <w:b w:val="0"/>
                <w:bCs w:val="0"/>
                <w:kern w:val="0"/>
                <w:sz w:val="36"/>
                <w:szCs w:val="36"/>
              </w:rPr>
              <w:t>　</w:t>
            </w:r>
          </w:p>
        </w:tc>
        <w:tc>
          <w:tcPr>
            <w:tcW w:w="1366" w:type="dxa"/>
            <w:gridSpan w:val="2"/>
            <w:tcBorders>
              <w:top w:val="single" w:color="auto" w:sz="4" w:space="0"/>
              <w:left w:val="nil"/>
              <w:bottom w:val="nil"/>
              <w:right w:val="single" w:color="auto" w:sz="4" w:space="0"/>
            </w:tcBorders>
            <w:shd w:val="clear" w:color="auto" w:fill="auto"/>
            <w:vAlign w:val="center"/>
          </w:tcPr>
          <w:p>
            <w:pPr>
              <w:widowControl/>
              <w:jc w:val="center"/>
              <w:rPr>
                <w:rFonts w:ascii="微软雅黑" w:hAnsi="微软雅黑" w:eastAsia="微软雅黑" w:cs="宋体"/>
                <w:b w:val="0"/>
                <w:bCs w:val="0"/>
                <w:kern w:val="0"/>
                <w:sz w:val="36"/>
                <w:szCs w:val="36"/>
              </w:rPr>
            </w:pPr>
            <w:r>
              <w:rPr>
                <w:rFonts w:hint="eastAsia" w:ascii="微软雅黑" w:hAnsi="微软雅黑" w:eastAsia="微软雅黑" w:cs="宋体"/>
                <w:b w:val="0"/>
                <w:bCs w:val="0"/>
                <w:kern w:val="0"/>
                <w:sz w:val="36"/>
                <w:szCs w:val="36"/>
              </w:rPr>
              <w:t>　</w:t>
            </w:r>
          </w:p>
        </w:tc>
        <w:tc>
          <w:tcPr>
            <w:tcW w:w="3450" w:type="dxa"/>
            <w:gridSpan w:val="3"/>
            <w:tcBorders>
              <w:top w:val="single" w:color="auto" w:sz="4" w:space="0"/>
              <w:left w:val="nil"/>
              <w:bottom w:val="nil"/>
              <w:right w:val="nil"/>
            </w:tcBorders>
            <w:shd w:val="clear" w:color="auto" w:fill="auto"/>
            <w:vAlign w:val="center"/>
          </w:tcPr>
          <w:p>
            <w:pPr>
              <w:widowControl/>
              <w:jc w:val="center"/>
              <w:rPr>
                <w:rFonts w:ascii="微软雅黑" w:hAnsi="微软雅黑" w:eastAsia="微软雅黑" w:cs="宋体"/>
                <w:b w:val="0"/>
                <w:bCs w:val="0"/>
                <w:kern w:val="0"/>
                <w:sz w:val="36"/>
                <w:szCs w:val="36"/>
              </w:rPr>
            </w:pPr>
            <w:r>
              <w:rPr>
                <w:rFonts w:hint="eastAsia" w:ascii="微软雅黑" w:hAnsi="微软雅黑" w:eastAsia="微软雅黑" w:cs="宋体"/>
                <w:b w:val="0"/>
                <w:bCs w:val="0"/>
                <w:kern w:val="0"/>
                <w:sz w:val="36"/>
                <w:szCs w:val="36"/>
              </w:rPr>
              <w:t>　</w:t>
            </w:r>
          </w:p>
        </w:tc>
        <w:tc>
          <w:tcPr>
            <w:tcW w:w="933" w:type="dxa"/>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b w:val="0"/>
                <w:bCs w:val="0"/>
                <w:kern w:val="0"/>
                <w:sz w:val="18"/>
                <w:szCs w:val="18"/>
              </w:rPr>
            </w:pPr>
            <w:r>
              <w:rPr>
                <w:rFonts w:hint="eastAsia" w:ascii="微软雅黑" w:hAnsi="微软雅黑" w:eastAsia="微软雅黑" w:cs="宋体"/>
                <w:b w:val="0"/>
                <w:bCs w:val="0"/>
                <w:kern w:val="0"/>
                <w:sz w:val="18"/>
                <w:szCs w:val="18"/>
              </w:rPr>
              <w:t>磅房距离</w:t>
            </w:r>
            <w:r>
              <w:rPr>
                <w:rFonts w:hint="eastAsia" w:ascii="微软雅黑" w:hAnsi="微软雅黑" w:eastAsia="微软雅黑" w:cs="宋体"/>
                <w:b w:val="0"/>
                <w:bCs w:val="0"/>
                <w:kern w:val="0"/>
                <w:sz w:val="18"/>
                <w:szCs w:val="18"/>
              </w:rPr>
              <w:br w:type="textWrapping"/>
            </w:r>
            <w:r>
              <w:rPr>
                <w:rFonts w:hint="eastAsia" w:ascii="微软雅黑" w:hAnsi="微软雅黑" w:eastAsia="微软雅黑" w:cs="宋体"/>
                <w:b w:val="0"/>
                <w:bCs w:val="0"/>
                <w:kern w:val="0"/>
                <w:sz w:val="18"/>
                <w:szCs w:val="18"/>
              </w:rPr>
              <w:t>（单位：米）</w:t>
            </w:r>
          </w:p>
        </w:tc>
        <w:tc>
          <w:tcPr>
            <w:tcW w:w="1136" w:type="dxa"/>
            <w:tcBorders>
              <w:top w:val="nil"/>
              <w:left w:val="nil"/>
              <w:bottom w:val="nil"/>
              <w:right w:val="single" w:color="auto" w:sz="8" w:space="0"/>
            </w:tcBorders>
            <w:shd w:val="clear" w:color="auto" w:fill="auto"/>
            <w:vAlign w:val="center"/>
          </w:tcPr>
          <w:p>
            <w:pPr>
              <w:widowControl/>
              <w:jc w:val="center"/>
              <w:rPr>
                <w:rFonts w:ascii="微软雅黑" w:hAnsi="微软雅黑" w:eastAsia="微软雅黑" w:cs="宋体"/>
                <w:b w:val="0"/>
                <w:bCs w:val="0"/>
                <w:color w:val="FF0000"/>
                <w:kern w:val="0"/>
                <w:sz w:val="22"/>
                <w:szCs w:val="22"/>
              </w:rPr>
            </w:pPr>
            <w:r>
              <w:rPr>
                <w:rFonts w:hint="eastAsia" w:ascii="微软雅黑" w:hAnsi="微软雅黑" w:eastAsia="微软雅黑" w:cs="宋体"/>
                <w:b w:val="0"/>
                <w:bCs w:val="0"/>
                <w:color w:val="FF0000"/>
                <w:kern w:val="0"/>
                <w:sz w:val="22"/>
                <w:szCs w:val="22"/>
              </w:rPr>
              <w:t>客户标识</w:t>
            </w:r>
          </w:p>
        </w:tc>
        <w:tc>
          <w:tcPr>
            <w:tcW w:w="730" w:type="dxa"/>
            <w:tcBorders>
              <w:top w:val="nil"/>
              <w:left w:val="nil"/>
              <w:bottom w:val="nil"/>
              <w:right w:val="nil"/>
            </w:tcBorders>
            <w:shd w:val="clear" w:color="auto" w:fill="auto"/>
            <w:noWrap/>
            <w:vAlign w:val="bottom"/>
          </w:tcPr>
          <w:p>
            <w:pPr>
              <w:widowControl/>
              <w:jc w:val="left"/>
              <w:rPr>
                <w:rFonts w:ascii="微软雅黑" w:hAnsi="微软雅黑" w:eastAsia="微软雅黑" w:cs="宋体"/>
                <w:b w:val="0"/>
                <w:bCs w:val="0"/>
                <w:kern w:val="0"/>
                <w:sz w:val="24"/>
              </w:rPr>
            </w:pPr>
          </w:p>
        </w:tc>
      </w:tr>
    </w:tbl>
    <w:p>
      <w:pPr>
        <w:ind w:right="68"/>
        <w:rPr>
          <w:rFonts w:hint="eastAsia" w:ascii="仿宋" w:hAnsi="仿宋" w:eastAsia="仿宋" w:cs="仿宋"/>
          <w:b w:val="0"/>
          <w:bCs w:val="0"/>
          <w:sz w:val="30"/>
          <w:szCs w:val="30"/>
        </w:rPr>
      </w:pPr>
    </w:p>
    <w:p>
      <w:pPr>
        <w:ind w:right="68"/>
        <w:rPr>
          <w:rFonts w:ascii="仿宋" w:hAnsi="仿宋" w:eastAsia="仿宋" w:cs="仿宋"/>
          <w:b w:val="0"/>
          <w:bCs w:val="0"/>
          <w:color w:val="000000"/>
          <w:kern w:val="0"/>
          <w:sz w:val="28"/>
          <w:szCs w:val="28"/>
        </w:rPr>
      </w:pPr>
      <w:r>
        <w:rPr>
          <w:rFonts w:hint="eastAsia" w:ascii="仿宋" w:hAnsi="仿宋" w:eastAsia="仿宋" w:cs="仿宋"/>
          <w:b w:val="0"/>
          <w:bCs w:val="0"/>
          <w:sz w:val="30"/>
          <w:szCs w:val="30"/>
        </w:rPr>
        <w:t>烦请贵单位在收到《招标</w:t>
      </w:r>
      <w:r>
        <w:rPr>
          <w:rFonts w:hint="eastAsia" w:ascii="仿宋" w:hAnsi="仿宋" w:eastAsia="仿宋" w:cs="仿宋"/>
          <w:b w:val="0"/>
          <w:bCs w:val="0"/>
          <w:sz w:val="30"/>
          <w:szCs w:val="30"/>
          <w:lang w:eastAsia="zh-CN"/>
        </w:rPr>
        <w:t>文件</w:t>
      </w:r>
      <w:r>
        <w:rPr>
          <w:rFonts w:hint="eastAsia" w:ascii="仿宋" w:hAnsi="仿宋" w:eastAsia="仿宋" w:cs="仿宋"/>
          <w:b w:val="0"/>
          <w:bCs w:val="0"/>
          <w:sz w:val="30"/>
          <w:szCs w:val="30"/>
        </w:rPr>
        <w:t>》后，于24小时内给予回复是否参与投标。（如需</w:t>
      </w:r>
      <w:r>
        <w:rPr>
          <w:rFonts w:ascii="仿宋" w:hAnsi="仿宋" w:eastAsia="仿宋" w:cs="仿宋"/>
          <w:b w:val="0"/>
          <w:bCs w:val="0"/>
          <w:sz w:val="30"/>
          <w:szCs w:val="30"/>
        </w:rPr>
        <w:t>看现场</w:t>
      </w:r>
      <w:r>
        <w:rPr>
          <w:rFonts w:hint="eastAsia" w:ascii="仿宋" w:hAnsi="仿宋" w:eastAsia="仿宋" w:cs="仿宋"/>
          <w:b w:val="0"/>
          <w:bCs w:val="0"/>
          <w:sz w:val="30"/>
          <w:szCs w:val="30"/>
        </w:rPr>
        <w:t>2日内需到现场确认），投标价格需单价明确，不得出现辅材等模糊计价项目,线材按单价做招标评估，结算以</w:t>
      </w:r>
      <w:r>
        <w:rPr>
          <w:rFonts w:ascii="仿宋" w:hAnsi="仿宋" w:eastAsia="仿宋" w:cs="仿宋"/>
          <w:b w:val="0"/>
          <w:bCs w:val="0"/>
          <w:sz w:val="30"/>
          <w:szCs w:val="30"/>
        </w:rPr>
        <w:t>中标价格</w:t>
      </w:r>
      <w:r>
        <w:rPr>
          <w:rFonts w:hint="eastAsia" w:ascii="仿宋" w:hAnsi="仿宋" w:eastAsia="仿宋" w:cs="仿宋"/>
          <w:b w:val="0"/>
          <w:bCs w:val="0"/>
          <w:sz w:val="30"/>
          <w:szCs w:val="30"/>
        </w:rPr>
        <w:t>为准，</w:t>
      </w:r>
      <w:r>
        <w:rPr>
          <w:rFonts w:ascii="仿宋" w:hAnsi="仿宋" w:eastAsia="仿宋" w:cs="仿宋"/>
          <w:b w:val="0"/>
          <w:bCs w:val="0"/>
          <w:sz w:val="30"/>
          <w:szCs w:val="30"/>
        </w:rPr>
        <w:t>盈亏自负</w:t>
      </w:r>
      <w:r>
        <w:rPr>
          <w:rFonts w:hint="eastAsia" w:ascii="仿宋" w:hAnsi="仿宋" w:eastAsia="仿宋" w:cs="仿宋"/>
          <w:b w:val="0"/>
          <w:bCs w:val="0"/>
          <w:sz w:val="30"/>
          <w:szCs w:val="30"/>
          <w:lang w:eastAsia="zh-CN"/>
        </w:rPr>
        <w:t>，写清付款方式及税率</w:t>
      </w:r>
      <w:r>
        <w:rPr>
          <w:rFonts w:ascii="仿宋" w:hAnsi="仿宋" w:eastAsia="仿宋" w:cs="仿宋"/>
          <w:b w:val="0"/>
          <w:bCs w:val="0"/>
          <w:sz w:val="30"/>
          <w:szCs w:val="30"/>
        </w:rPr>
        <w:t>。</w:t>
      </w: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B0650"/>
    <w:multiLevelType w:val="multilevel"/>
    <w:tmpl w:val="16DB0650"/>
    <w:lvl w:ilvl="0" w:tentative="0">
      <w:start w:val="1"/>
      <w:numFmt w:val="none"/>
      <w:lvlText w:val="一、"/>
      <w:lvlJc w:val="left"/>
      <w:pPr>
        <w:ind w:left="72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3MDVlNDQyYTdiNTczNjk2N2NiMDQ4ODYwNmUwNDEifQ=="/>
  </w:docVars>
  <w:rsids>
    <w:rsidRoot w:val="14D70820"/>
    <w:rsid w:val="000016AB"/>
    <w:rsid w:val="00010475"/>
    <w:rsid w:val="000140A9"/>
    <w:rsid w:val="0002639C"/>
    <w:rsid w:val="00027922"/>
    <w:rsid w:val="00036F46"/>
    <w:rsid w:val="000400EC"/>
    <w:rsid w:val="000448D3"/>
    <w:rsid w:val="000668E7"/>
    <w:rsid w:val="00073964"/>
    <w:rsid w:val="00082C71"/>
    <w:rsid w:val="00085DEC"/>
    <w:rsid w:val="000A04FB"/>
    <w:rsid w:val="000A36E6"/>
    <w:rsid w:val="000C6612"/>
    <w:rsid w:val="000D54A9"/>
    <w:rsid w:val="000F1A23"/>
    <w:rsid w:val="000F2FB0"/>
    <w:rsid w:val="0010092D"/>
    <w:rsid w:val="001217FC"/>
    <w:rsid w:val="0013257F"/>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0A9"/>
    <w:rsid w:val="001F6B53"/>
    <w:rsid w:val="002104F4"/>
    <w:rsid w:val="00210924"/>
    <w:rsid w:val="0021096D"/>
    <w:rsid w:val="002211E3"/>
    <w:rsid w:val="0022225D"/>
    <w:rsid w:val="00242018"/>
    <w:rsid w:val="002427B8"/>
    <w:rsid w:val="00264A49"/>
    <w:rsid w:val="002A0CA1"/>
    <w:rsid w:val="002B1690"/>
    <w:rsid w:val="002D2480"/>
    <w:rsid w:val="002D27AF"/>
    <w:rsid w:val="002E04CD"/>
    <w:rsid w:val="002F48A7"/>
    <w:rsid w:val="002F5ABB"/>
    <w:rsid w:val="00306EC9"/>
    <w:rsid w:val="00311848"/>
    <w:rsid w:val="0031742A"/>
    <w:rsid w:val="003340A6"/>
    <w:rsid w:val="0034629D"/>
    <w:rsid w:val="00353AE1"/>
    <w:rsid w:val="00355526"/>
    <w:rsid w:val="00360FD3"/>
    <w:rsid w:val="00363C63"/>
    <w:rsid w:val="003750BF"/>
    <w:rsid w:val="003761A2"/>
    <w:rsid w:val="00385165"/>
    <w:rsid w:val="00395CFB"/>
    <w:rsid w:val="003A42FB"/>
    <w:rsid w:val="003E7C96"/>
    <w:rsid w:val="003F12E1"/>
    <w:rsid w:val="003F2FFF"/>
    <w:rsid w:val="00401E48"/>
    <w:rsid w:val="00434F86"/>
    <w:rsid w:val="00442BA8"/>
    <w:rsid w:val="004452CC"/>
    <w:rsid w:val="00447816"/>
    <w:rsid w:val="00481206"/>
    <w:rsid w:val="004815E2"/>
    <w:rsid w:val="0048716E"/>
    <w:rsid w:val="00491715"/>
    <w:rsid w:val="00496BF6"/>
    <w:rsid w:val="004C1FC6"/>
    <w:rsid w:val="004D7CF2"/>
    <w:rsid w:val="004E4C85"/>
    <w:rsid w:val="004E65D5"/>
    <w:rsid w:val="004F2EB8"/>
    <w:rsid w:val="005004FF"/>
    <w:rsid w:val="00515A96"/>
    <w:rsid w:val="0053237F"/>
    <w:rsid w:val="00532B15"/>
    <w:rsid w:val="00543389"/>
    <w:rsid w:val="00544194"/>
    <w:rsid w:val="00596B34"/>
    <w:rsid w:val="005B5982"/>
    <w:rsid w:val="005B5E50"/>
    <w:rsid w:val="005D1CFE"/>
    <w:rsid w:val="005D32F2"/>
    <w:rsid w:val="005D5885"/>
    <w:rsid w:val="005E2E79"/>
    <w:rsid w:val="005E61F2"/>
    <w:rsid w:val="005E6B4B"/>
    <w:rsid w:val="006033A1"/>
    <w:rsid w:val="00623702"/>
    <w:rsid w:val="00624F66"/>
    <w:rsid w:val="00641833"/>
    <w:rsid w:val="00643949"/>
    <w:rsid w:val="00654A9D"/>
    <w:rsid w:val="00655BEE"/>
    <w:rsid w:val="00663003"/>
    <w:rsid w:val="00670B15"/>
    <w:rsid w:val="00671045"/>
    <w:rsid w:val="00673247"/>
    <w:rsid w:val="00674491"/>
    <w:rsid w:val="0069446D"/>
    <w:rsid w:val="006A6992"/>
    <w:rsid w:val="006B2553"/>
    <w:rsid w:val="006C1E9F"/>
    <w:rsid w:val="006D1F3B"/>
    <w:rsid w:val="006D6272"/>
    <w:rsid w:val="006F2E9D"/>
    <w:rsid w:val="006F3A14"/>
    <w:rsid w:val="006F569A"/>
    <w:rsid w:val="007106C3"/>
    <w:rsid w:val="00711421"/>
    <w:rsid w:val="00722FE0"/>
    <w:rsid w:val="0074530B"/>
    <w:rsid w:val="00746246"/>
    <w:rsid w:val="007576FD"/>
    <w:rsid w:val="00764464"/>
    <w:rsid w:val="00770C6D"/>
    <w:rsid w:val="0077320F"/>
    <w:rsid w:val="007858B7"/>
    <w:rsid w:val="007A7E3F"/>
    <w:rsid w:val="007B17D6"/>
    <w:rsid w:val="007C5761"/>
    <w:rsid w:val="007D3EC9"/>
    <w:rsid w:val="007D5E12"/>
    <w:rsid w:val="007F32AC"/>
    <w:rsid w:val="00800B65"/>
    <w:rsid w:val="00807D12"/>
    <w:rsid w:val="00810526"/>
    <w:rsid w:val="0081621E"/>
    <w:rsid w:val="008269DC"/>
    <w:rsid w:val="00827E5A"/>
    <w:rsid w:val="00877824"/>
    <w:rsid w:val="008840A4"/>
    <w:rsid w:val="008847CC"/>
    <w:rsid w:val="00891C45"/>
    <w:rsid w:val="00891DA5"/>
    <w:rsid w:val="00894F8F"/>
    <w:rsid w:val="008954C4"/>
    <w:rsid w:val="0089579B"/>
    <w:rsid w:val="008C1FCD"/>
    <w:rsid w:val="008E1184"/>
    <w:rsid w:val="008F6A87"/>
    <w:rsid w:val="008F7671"/>
    <w:rsid w:val="00910DBB"/>
    <w:rsid w:val="00912E27"/>
    <w:rsid w:val="009164F6"/>
    <w:rsid w:val="00924D21"/>
    <w:rsid w:val="0092669F"/>
    <w:rsid w:val="0093535F"/>
    <w:rsid w:val="0095248A"/>
    <w:rsid w:val="00953758"/>
    <w:rsid w:val="00957600"/>
    <w:rsid w:val="00963A40"/>
    <w:rsid w:val="009650B7"/>
    <w:rsid w:val="00975A8E"/>
    <w:rsid w:val="00992878"/>
    <w:rsid w:val="009B67B8"/>
    <w:rsid w:val="009D5B70"/>
    <w:rsid w:val="009D6632"/>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C0A0D"/>
    <w:rsid w:val="00AD3E33"/>
    <w:rsid w:val="00AD5651"/>
    <w:rsid w:val="00AE7E20"/>
    <w:rsid w:val="00B02199"/>
    <w:rsid w:val="00B02A04"/>
    <w:rsid w:val="00B10A69"/>
    <w:rsid w:val="00B12C91"/>
    <w:rsid w:val="00B142FC"/>
    <w:rsid w:val="00B14D77"/>
    <w:rsid w:val="00B30B3D"/>
    <w:rsid w:val="00B3298E"/>
    <w:rsid w:val="00B37251"/>
    <w:rsid w:val="00B37A75"/>
    <w:rsid w:val="00B637ED"/>
    <w:rsid w:val="00B67662"/>
    <w:rsid w:val="00B7015D"/>
    <w:rsid w:val="00B7152E"/>
    <w:rsid w:val="00B75E47"/>
    <w:rsid w:val="00B858A1"/>
    <w:rsid w:val="00BE0350"/>
    <w:rsid w:val="00BE2C08"/>
    <w:rsid w:val="00C0034E"/>
    <w:rsid w:val="00C01070"/>
    <w:rsid w:val="00C035CB"/>
    <w:rsid w:val="00C13764"/>
    <w:rsid w:val="00C327A2"/>
    <w:rsid w:val="00C354EF"/>
    <w:rsid w:val="00C54657"/>
    <w:rsid w:val="00C56EFB"/>
    <w:rsid w:val="00C61559"/>
    <w:rsid w:val="00C756C1"/>
    <w:rsid w:val="00C84B6A"/>
    <w:rsid w:val="00C867AC"/>
    <w:rsid w:val="00CA062E"/>
    <w:rsid w:val="00CA1D42"/>
    <w:rsid w:val="00CA3662"/>
    <w:rsid w:val="00CA3E05"/>
    <w:rsid w:val="00CA7FE7"/>
    <w:rsid w:val="00CB7709"/>
    <w:rsid w:val="00CD3A84"/>
    <w:rsid w:val="00CD6F7D"/>
    <w:rsid w:val="00D23019"/>
    <w:rsid w:val="00D2706D"/>
    <w:rsid w:val="00D3366E"/>
    <w:rsid w:val="00D436FA"/>
    <w:rsid w:val="00D45633"/>
    <w:rsid w:val="00D64CEE"/>
    <w:rsid w:val="00D67CFC"/>
    <w:rsid w:val="00D813B1"/>
    <w:rsid w:val="00D90689"/>
    <w:rsid w:val="00DA4593"/>
    <w:rsid w:val="00DC474F"/>
    <w:rsid w:val="00DC4BAB"/>
    <w:rsid w:val="00DE7334"/>
    <w:rsid w:val="00DF31B7"/>
    <w:rsid w:val="00E108FE"/>
    <w:rsid w:val="00E15EAC"/>
    <w:rsid w:val="00E225CA"/>
    <w:rsid w:val="00E43810"/>
    <w:rsid w:val="00E47AC3"/>
    <w:rsid w:val="00E51EA2"/>
    <w:rsid w:val="00E602BD"/>
    <w:rsid w:val="00E713E9"/>
    <w:rsid w:val="00E80FFB"/>
    <w:rsid w:val="00E87016"/>
    <w:rsid w:val="00E95A12"/>
    <w:rsid w:val="00EA0002"/>
    <w:rsid w:val="00EB43AF"/>
    <w:rsid w:val="00EB4919"/>
    <w:rsid w:val="00EB6A4E"/>
    <w:rsid w:val="00EC43BF"/>
    <w:rsid w:val="00ED6B4A"/>
    <w:rsid w:val="00EF3A07"/>
    <w:rsid w:val="00F04AE1"/>
    <w:rsid w:val="00F1223D"/>
    <w:rsid w:val="00F12F4E"/>
    <w:rsid w:val="00F20309"/>
    <w:rsid w:val="00F3548F"/>
    <w:rsid w:val="00F63D41"/>
    <w:rsid w:val="00F9392B"/>
    <w:rsid w:val="00F94F76"/>
    <w:rsid w:val="00F95172"/>
    <w:rsid w:val="00FB6232"/>
    <w:rsid w:val="00FD03BA"/>
    <w:rsid w:val="00FE0EAB"/>
    <w:rsid w:val="00FE7735"/>
    <w:rsid w:val="00FF037C"/>
    <w:rsid w:val="00FF3C3B"/>
    <w:rsid w:val="00FF5E3A"/>
    <w:rsid w:val="01086C64"/>
    <w:rsid w:val="052F7BE9"/>
    <w:rsid w:val="07E354E8"/>
    <w:rsid w:val="08351862"/>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AE55C0"/>
    <w:rsid w:val="27C33CA0"/>
    <w:rsid w:val="2A6A5A19"/>
    <w:rsid w:val="2B5108D7"/>
    <w:rsid w:val="2B7C2FDF"/>
    <w:rsid w:val="2BE66046"/>
    <w:rsid w:val="31B30842"/>
    <w:rsid w:val="3202624E"/>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8406C9E"/>
    <w:rsid w:val="5D054434"/>
    <w:rsid w:val="5EA87FAD"/>
    <w:rsid w:val="61F9484C"/>
    <w:rsid w:val="636546D8"/>
    <w:rsid w:val="64AB558A"/>
    <w:rsid w:val="6DC2661B"/>
    <w:rsid w:val="6F0E7C9C"/>
    <w:rsid w:val="712C5A62"/>
    <w:rsid w:val="7452317D"/>
    <w:rsid w:val="753D7DC7"/>
    <w:rsid w:val="75936E93"/>
    <w:rsid w:val="760A5128"/>
    <w:rsid w:val="7B88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Indent"/>
    <w:basedOn w:val="1"/>
    <w:link w:val="25"/>
    <w:qFormat/>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99"/>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qFormat/>
    <w:uiPriority w:val="0"/>
    <w:rPr>
      <w:rFonts w:eastAsia="宋体"/>
      <w:b/>
      <w:bCs/>
      <w:kern w:val="44"/>
      <w:sz w:val="44"/>
      <w:szCs w:val="44"/>
    </w:rPr>
  </w:style>
  <w:style w:type="character" w:customStyle="1" w:styleId="19">
    <w:name w:val="标题 1 Char1"/>
    <w:link w:val="2"/>
    <w:qFormat/>
    <w:uiPriority w:val="0"/>
    <w:rPr>
      <w:rFonts w:ascii="Times New Roman" w:hAnsi="Times New Roman" w:eastAsia="宋体" w:cs="Times New Roman"/>
      <w:b/>
      <w:bCs/>
      <w:kern w:val="2"/>
      <w:sz w:val="28"/>
      <w:szCs w:val="24"/>
    </w:rPr>
  </w:style>
  <w:style w:type="character" w:customStyle="1" w:styleId="20">
    <w:name w:val="页脚 字符"/>
    <w:qFormat/>
    <w:uiPriority w:val="0"/>
    <w:rPr>
      <w:kern w:val="2"/>
      <w:sz w:val="18"/>
      <w:szCs w:val="18"/>
    </w:rPr>
  </w:style>
  <w:style w:type="character" w:customStyle="1" w:styleId="21">
    <w:name w:val="页眉 字符"/>
    <w:qFormat/>
    <w:uiPriority w:val="0"/>
    <w:rPr>
      <w:kern w:val="2"/>
      <w:sz w:val="18"/>
      <w:szCs w:val="18"/>
    </w:rPr>
  </w:style>
  <w:style w:type="character" w:customStyle="1" w:styleId="22">
    <w:name w:val="正文文本缩进 Char1"/>
    <w:link w:val="4"/>
    <w:qFormat/>
    <w:uiPriority w:val="0"/>
    <w:rPr>
      <w:kern w:val="2"/>
      <w:sz w:val="24"/>
    </w:rPr>
  </w:style>
  <w:style w:type="character" w:customStyle="1" w:styleId="23">
    <w:name w:val="批注框文本 字符"/>
    <w:qFormat/>
    <w:uiPriority w:val="0"/>
    <w:rPr>
      <w:kern w:val="2"/>
      <w:sz w:val="18"/>
      <w:szCs w:val="18"/>
    </w:rPr>
  </w:style>
  <w:style w:type="paragraph" w:customStyle="1" w:styleId="24">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qFormat/>
    <w:uiPriority w:val="0"/>
    <w:rPr>
      <w:rFonts w:eastAsia="宋体"/>
      <w:kern w:val="2"/>
      <w:sz w:val="21"/>
      <w:szCs w:val="24"/>
    </w:rPr>
  </w:style>
  <w:style w:type="paragraph" w:customStyle="1" w:styleId="26">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2554</Words>
  <Characters>2827</Characters>
  <Lines>22</Lines>
  <Paragraphs>6</Paragraphs>
  <TotalTime>1137</TotalTime>
  <ScaleCrop>false</ScaleCrop>
  <LinksUpToDate>false</LinksUpToDate>
  <CharactersWithSpaces>3025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海海</cp:lastModifiedBy>
  <cp:lastPrinted>2018-08-20T02:56:00Z</cp:lastPrinted>
  <dcterms:modified xsi:type="dcterms:W3CDTF">2022-08-04T01:42:52Z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0AC308AD3EA04BE080A7B1B0A510B891</vt:lpwstr>
  </property>
</Properties>
</file>