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股份有限公司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和山东金都电子材料有限公司职业卫生现状评价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</w:rPr>
        <w:t>山东金宝电子股份有限公司</w:t>
      </w:r>
      <w:r>
        <w:rPr>
          <w:sz w:val="28"/>
          <w:szCs w:val="36"/>
        </w:rPr>
        <w:t>专业生产电子铜箔、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"https://baike.sogou.com/v1590593.htm"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覆铜板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和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"https://baike.sogou.com/v5167988.htm"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印制电路板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产品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电子铜箔、覆铜板分别达到18000吨/年、1800万平方米/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下设四个厂区，分别是招远市天府路</w:t>
      </w:r>
      <w:r>
        <w:rPr>
          <w:rFonts w:hint="eastAsia"/>
          <w:sz w:val="28"/>
          <w:szCs w:val="28"/>
          <w:lang w:val="en-US" w:eastAsia="zh-CN"/>
        </w:rPr>
        <w:t>128号的铜箔天府路厂，</w:t>
      </w:r>
      <w:r>
        <w:rPr>
          <w:rFonts w:hint="eastAsia"/>
          <w:sz w:val="28"/>
          <w:szCs w:val="36"/>
          <w:lang w:val="en-US" w:eastAsia="zh-CN"/>
        </w:rPr>
        <w:t>天府路厂占地面积31129㎡，建筑面积13929㎡，</w:t>
      </w:r>
      <w:r>
        <w:rPr>
          <w:rFonts w:hint="eastAsia"/>
          <w:sz w:val="28"/>
          <w:szCs w:val="28"/>
          <w:lang w:val="en-US" w:eastAsia="zh-CN"/>
        </w:rPr>
        <w:t>主要生产铜箔；金源路39号的覆铜板金源路厂，</w:t>
      </w:r>
      <w:r>
        <w:rPr>
          <w:rFonts w:hint="eastAsia"/>
          <w:sz w:val="28"/>
          <w:szCs w:val="36"/>
          <w:lang w:val="en-US" w:eastAsia="zh-CN"/>
        </w:rPr>
        <w:t>金源路厂占地面积23386㎡，建筑面积18015㎡，</w:t>
      </w:r>
      <w:r>
        <w:rPr>
          <w:rFonts w:hint="eastAsia"/>
          <w:sz w:val="28"/>
          <w:szCs w:val="28"/>
          <w:lang w:val="en-US" w:eastAsia="zh-CN"/>
        </w:rPr>
        <w:t>主要生产覆铜板；工业园区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</w:t>
      </w:r>
      <w:r>
        <w:rPr>
          <w:rFonts w:hint="eastAsia"/>
          <w:sz w:val="28"/>
          <w:szCs w:val="36"/>
          <w:lang w:val="en-US" w:eastAsia="zh-CN"/>
        </w:rPr>
        <w:t>国大路厂占地面积122070㎡，建筑面积66440㎡，内</w:t>
      </w:r>
      <w:r>
        <w:rPr>
          <w:rFonts w:hint="eastAsia"/>
          <w:sz w:val="28"/>
          <w:szCs w:val="28"/>
          <w:lang w:val="en-US" w:eastAsia="zh-CN"/>
        </w:rPr>
        <w:t>设行政办公楼、研发中心、覆铜板国大路厂（分南区和北区）、机修厂</w:t>
      </w:r>
      <w:r>
        <w:rPr>
          <w:rFonts w:hint="eastAsia"/>
          <w:sz w:val="28"/>
          <w:szCs w:val="28"/>
          <w:lang w:val="zh-CN"/>
        </w:rPr>
        <w:t>。</w:t>
      </w:r>
      <w:r>
        <w:rPr>
          <w:rFonts w:hint="eastAsia"/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（备注：金宝公司除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2021年检测项目外，天府路厂新增铜箔天府路厂1号处理机厂房项目一处，面积 595㎡，建筑体积4135m³；覆铜板国大路厂新增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2000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万㎡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Times New Roman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高性能覆铜板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二期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涉及项目工程界区内的设备及其配套辅助设施，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本二期项目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覆铜板车间位于整个厂区中部，占地面积16335平方米，建筑面积24133平方米。车间北面为树脂车间、固体料仓库;南面为已建成品库、铜料库;西面为新建锅炉房，辅助车间，拟建电力进出站，东侧为预留厂房。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二期项目主要设备包括调和反应釜、上胶机、锅炉、空压机等。）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32"/>
          <w:szCs w:val="32"/>
          <w:lang w:val="zh-CN"/>
        </w:rPr>
      </w:pPr>
      <w:r>
        <w:rPr>
          <w:rFonts w:hint="eastAsia" w:ascii="仿宋_GB2312" w:hAnsi="仿宋"/>
          <w:color w:val="000000"/>
          <w:sz w:val="28"/>
          <w:szCs w:val="28"/>
        </w:rPr>
        <w:t>山东金都电子材料有限公司位于烟台招远市开发区金晖路229号，成立于2006年6月21日，年产7000吨/年电解铜箔</w:t>
      </w:r>
      <w:r>
        <w:rPr>
          <w:rFonts w:hint="eastAsia" w:ascii="仿宋_GB2312" w:hAnsi="仿宋"/>
          <w:color w:val="00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占地面积37216㎡，建筑面积25636㎡。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金宝和金都公司的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发票，公司收到全额发票确认无误后，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相关职业卫生评价报告经公司和卫健局审核通过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月内支付全额评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发票上的增值税发票税率必须同竞标时所报税率一致。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、标书、报价单发至公司招标邮箱lwenling@chinajinbao.com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供应链管理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年3月1日上午11点前。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秦忠菊   联系电话：15684066196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41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金宝电子供应链管理部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4" w:firstLineChars="2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2022-2-25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42070"/>
    <w:multiLevelType w:val="singleLevel"/>
    <w:tmpl w:val="D4842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0A8A"/>
    <w:rsid w:val="039D7D05"/>
    <w:rsid w:val="06DF28D1"/>
    <w:rsid w:val="07E07E08"/>
    <w:rsid w:val="0AA84197"/>
    <w:rsid w:val="0B25604C"/>
    <w:rsid w:val="0C573BDF"/>
    <w:rsid w:val="1174640F"/>
    <w:rsid w:val="1AFC651B"/>
    <w:rsid w:val="1BB1662E"/>
    <w:rsid w:val="25566ED9"/>
    <w:rsid w:val="27473EFD"/>
    <w:rsid w:val="2BF72F1B"/>
    <w:rsid w:val="2CD13804"/>
    <w:rsid w:val="2D6E42C0"/>
    <w:rsid w:val="2DA80A8A"/>
    <w:rsid w:val="315F28B2"/>
    <w:rsid w:val="34936269"/>
    <w:rsid w:val="39001A22"/>
    <w:rsid w:val="396E72F2"/>
    <w:rsid w:val="39A21BC8"/>
    <w:rsid w:val="3C90131D"/>
    <w:rsid w:val="3E5C4F91"/>
    <w:rsid w:val="406E07F4"/>
    <w:rsid w:val="40D968BF"/>
    <w:rsid w:val="41514457"/>
    <w:rsid w:val="42937916"/>
    <w:rsid w:val="44004F9E"/>
    <w:rsid w:val="47371F6A"/>
    <w:rsid w:val="48A33FCD"/>
    <w:rsid w:val="494F3FA4"/>
    <w:rsid w:val="49EC5AE1"/>
    <w:rsid w:val="4D353C03"/>
    <w:rsid w:val="4E5456C1"/>
    <w:rsid w:val="4F7B68AB"/>
    <w:rsid w:val="50FF0FE5"/>
    <w:rsid w:val="543B4D7C"/>
    <w:rsid w:val="54D63A0F"/>
    <w:rsid w:val="550E2B98"/>
    <w:rsid w:val="57365F4E"/>
    <w:rsid w:val="5A857714"/>
    <w:rsid w:val="5B9B692D"/>
    <w:rsid w:val="5E961DF9"/>
    <w:rsid w:val="5F456DDD"/>
    <w:rsid w:val="610E4F00"/>
    <w:rsid w:val="64DD2422"/>
    <w:rsid w:val="65E355E1"/>
    <w:rsid w:val="676B2CF5"/>
    <w:rsid w:val="68AF5CFA"/>
    <w:rsid w:val="68ED2997"/>
    <w:rsid w:val="698F1D98"/>
    <w:rsid w:val="6A8900C8"/>
    <w:rsid w:val="6C271410"/>
    <w:rsid w:val="6D492994"/>
    <w:rsid w:val="6DC0129B"/>
    <w:rsid w:val="707878E9"/>
    <w:rsid w:val="73F97095"/>
    <w:rsid w:val="75C52EEB"/>
    <w:rsid w:val="76C27D9B"/>
    <w:rsid w:val="79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内容"/>
    <w:basedOn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Administrator</cp:lastModifiedBy>
  <dcterms:modified xsi:type="dcterms:W3CDTF">2022-02-24T23:43:07Z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465D5A03ECB04A29868C2CB5EC1BB3F1</vt:lpwstr>
  </property>
</Properties>
</file>