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Theme="minorEastAsia" w:hAnsiTheme="minorEastAsia" w:eastAsiaTheme="minorEastAsia" w:cstheme="minorEastAsia"/>
          <w:b/>
          <w:sz w:val="56"/>
          <w:szCs w:val="56"/>
        </w:rPr>
      </w:pPr>
      <w:r>
        <w:rPr>
          <w:rFonts w:hint="eastAsia" w:asciiTheme="minorEastAsia" w:hAnsiTheme="minorEastAsia" w:eastAsiaTheme="minorEastAsia" w:cstheme="minorEastAsia"/>
          <w:b/>
          <w:sz w:val="56"/>
          <w:szCs w:val="56"/>
        </w:rPr>
        <w:t xml:space="preserve">   招标文件</w:t>
      </w:r>
    </w:p>
    <w:p>
      <w:pPr>
        <w:ind w:firstLine="460"/>
        <w:jc w:val="center"/>
        <w:rPr>
          <w:spacing w:val="10"/>
          <w:sz w:val="28"/>
          <w:szCs w:val="28"/>
        </w:rPr>
      </w:pPr>
    </w:p>
    <w:p>
      <w:pPr>
        <w:ind w:firstLine="460"/>
        <w:jc w:val="center"/>
        <w:rPr>
          <w:spacing w:val="10"/>
          <w:sz w:val="28"/>
          <w:szCs w:val="28"/>
        </w:rPr>
      </w:pPr>
      <w:bookmarkStart w:id="0" w:name="_GoBack"/>
      <w:bookmarkEnd w:id="0"/>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left="2765" w:leftChars="600" w:hanging="1505" w:hangingChars="5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铜箔天府路厂（西区）溶铜自控系统升级改造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 xml:space="preserve">山东金宝电子股份有限公司 </w:t>
      </w:r>
      <w:r>
        <w:rPr>
          <w:rFonts w:hint="eastAsia" w:ascii="仿宋" w:hAnsi="仿宋" w:eastAsia="仿宋" w:cs="仿宋"/>
          <w:b/>
          <w:bCs/>
          <w:spacing w:val="10"/>
          <w:sz w:val="28"/>
          <w:szCs w:val="28"/>
        </w:rPr>
        <w:t xml:space="preserve"> </w:t>
      </w: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3300" w:firstLineChars="1100"/>
        <w:jc w:val="left"/>
        <w:rPr>
          <w:rFonts w:ascii="仿宋" w:hAnsi="仿宋" w:eastAsia="仿宋" w:cs="仿宋"/>
          <w:spacing w:val="10"/>
          <w:sz w:val="28"/>
          <w:szCs w:val="28"/>
        </w:rPr>
      </w:pPr>
      <w:r>
        <w:rPr>
          <w:rFonts w:hint="eastAsia" w:ascii="仿宋" w:hAnsi="仿宋" w:eastAsia="仿宋" w:cs="仿宋"/>
          <w:spacing w:val="10"/>
          <w:sz w:val="28"/>
          <w:szCs w:val="28"/>
        </w:rPr>
        <w:t>2022年 02月1</w:t>
      </w:r>
      <w:r>
        <w:rPr>
          <w:rFonts w:hint="eastAsia" w:ascii="仿宋" w:hAnsi="仿宋" w:eastAsia="仿宋" w:cs="仿宋"/>
          <w:spacing w:val="10"/>
          <w:sz w:val="28"/>
          <w:szCs w:val="28"/>
          <w:lang w:val="en-US" w:eastAsia="zh-CN"/>
        </w:rPr>
        <w:t>9</w:t>
      </w:r>
      <w:r>
        <w:rPr>
          <w:rFonts w:hint="eastAsia" w:ascii="仿宋" w:hAnsi="仿宋" w:eastAsia="仿宋" w:cs="仿宋"/>
          <w:spacing w:val="10"/>
          <w:sz w:val="28"/>
          <w:szCs w:val="28"/>
        </w:rPr>
        <w:t xml:space="preserve">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溶铜自控系统升级改造</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溶铜自控系统升级改造</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技术投标时间：2022.02</w:t>
      </w:r>
      <w:r>
        <w:rPr>
          <w:rFonts w:hint="eastAsia" w:ascii="仿宋_GB2312" w:eastAsia="仿宋_GB2312"/>
          <w:b/>
          <w:color w:val="C00000"/>
          <w:sz w:val="28"/>
          <w:szCs w:val="28"/>
          <w:lang w:val="en-US" w:eastAsia="zh-CN"/>
        </w:rPr>
        <w:t>.19-2022.2.23</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商务投标时间：2022.02</w:t>
      </w:r>
      <w:r>
        <w:rPr>
          <w:rFonts w:hint="eastAsia" w:ascii="仿宋_GB2312" w:eastAsia="仿宋_GB2312"/>
          <w:b/>
          <w:color w:val="C00000"/>
          <w:sz w:val="28"/>
          <w:szCs w:val="28"/>
          <w:lang w:val="en-US" w:eastAsia="zh-CN"/>
        </w:rPr>
        <w:t>.19-2022.2.23</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四、技术联系人：李军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联系方式：15966583110     13780923594</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p>
    <w:p>
      <w:pPr>
        <w:numPr>
          <w:ilvl w:val="0"/>
          <w:numId w:val="1"/>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w:t>
      </w:r>
      <w:r>
        <w:rPr>
          <w:rFonts w:hint="eastAsia" w:ascii="仿宋_GB2312" w:hAnsi="宋体" w:eastAsia="仿宋_GB2312"/>
          <w:b/>
          <w:bCs/>
          <w:color w:val="C00000"/>
          <w:sz w:val="28"/>
          <w:szCs w:val="28"/>
          <w:lang w:eastAsia="zh-CN"/>
        </w:rPr>
        <w:t>投标</w:t>
      </w:r>
      <w:r>
        <w:rPr>
          <w:rFonts w:hint="eastAsia" w:ascii="仿宋_GB2312" w:hAnsi="宋体" w:eastAsia="仿宋_GB2312"/>
          <w:b/>
          <w:bCs/>
          <w:color w:val="C00000"/>
          <w:sz w:val="28"/>
          <w:szCs w:val="28"/>
        </w:rPr>
        <w:t>联系人：</w:t>
      </w:r>
      <w:r>
        <w:rPr>
          <w:rFonts w:hint="eastAsia" w:ascii="仿宋_GB2312" w:hAnsi="宋体" w:eastAsia="仿宋_GB2312"/>
          <w:b/>
          <w:bCs/>
          <w:color w:val="C00000"/>
          <w:sz w:val="28"/>
          <w:szCs w:val="28"/>
          <w:lang w:eastAsia="zh-CN"/>
        </w:rPr>
        <w:t>秦忠菊</w:t>
      </w:r>
      <w:r>
        <w:rPr>
          <w:rFonts w:hint="eastAsia" w:ascii="仿宋_GB2312" w:hAnsi="宋体" w:eastAsia="仿宋_GB2312"/>
          <w:b/>
          <w:bCs/>
          <w:color w:val="C00000"/>
          <w:sz w:val="28"/>
          <w:szCs w:val="28"/>
          <w:lang w:val="en-US" w:eastAsia="zh-CN"/>
        </w:rPr>
        <w:t xml:space="preserve">  15684066196</w:t>
      </w:r>
      <w:r>
        <w:rPr>
          <w:rFonts w:hint="eastAsia" w:ascii="仿宋_GB2312" w:hAnsi="宋体" w:eastAsia="仿宋_GB2312"/>
          <w:color w:val="C00000"/>
          <w:sz w:val="28"/>
          <w:szCs w:val="28"/>
        </w:rPr>
        <w:t xml:space="preserve"> </w:t>
      </w:r>
    </w:p>
    <w:p>
      <w:pPr>
        <w:numPr>
          <w:ilvl w:val="0"/>
          <w:numId w:val="1"/>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：招远市国大路</w:t>
      </w:r>
      <w:r>
        <w:rPr>
          <w:rFonts w:hint="eastAsia" w:ascii="仿宋_GB2312" w:hAnsi="宋体" w:eastAsia="仿宋_GB2312"/>
          <w:b/>
          <w:bCs/>
          <w:sz w:val="28"/>
          <w:szCs w:val="28"/>
          <w:lang w:val="en-US" w:eastAsia="zh-CN"/>
        </w:rPr>
        <w:t>268号1楼供应链管理部106</w:t>
      </w:r>
    </w:p>
    <w:p>
      <w:pPr>
        <w:numPr>
          <w:numId w:val="0"/>
        </w:numPr>
        <w:spacing w:line="360" w:lineRule="auto"/>
        <w:ind w:right="70" w:rightChars="0"/>
        <w:rPr>
          <w:rFonts w:hint="default" w:ascii="仿宋_GB2312" w:hAnsi="宋体" w:eastAsia="仿宋_GB2312"/>
          <w:sz w:val="28"/>
          <w:szCs w:val="28"/>
          <w:lang w:val="en-US"/>
        </w:rPr>
      </w:pPr>
      <w:r>
        <w:rPr>
          <w:rFonts w:hint="eastAsia" w:ascii="仿宋_GB2312" w:hAnsi="宋体" w:eastAsia="仿宋_GB2312"/>
          <w:b/>
          <w:bCs/>
          <w:sz w:val="28"/>
          <w:szCs w:val="28"/>
          <w:lang w:val="en-US" w:eastAsia="zh-CN"/>
        </w:rPr>
        <w:t xml:space="preserve">        投标邮箱：</w:t>
      </w:r>
      <w:r>
        <w:rPr>
          <w:rFonts w:hint="eastAsia"/>
          <w:color w:val="FF0000"/>
          <w:sz w:val="28"/>
          <w:szCs w:val="36"/>
          <w:lang w:val="en-US" w:eastAsia="zh-CN"/>
        </w:rPr>
        <w:t>jinbaocg@chinajinbao.com同时抄送sdjbzb@163.com 和lwenling@chinajinbao.com   报价方式：“XXX公司+XXX项目报价”</w:t>
      </w:r>
    </w:p>
    <w:p>
      <w:pPr>
        <w:numPr>
          <w:ilvl w:val="0"/>
          <w:numId w:val="1"/>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邮    编：</w:t>
      </w:r>
      <w:r>
        <w:rPr>
          <w:rFonts w:hint="eastAsia" w:ascii="仿宋_GB2312" w:hAnsi="宋体" w:eastAsia="仿宋_GB2312"/>
          <w:sz w:val="28"/>
          <w:szCs w:val="28"/>
        </w:rPr>
        <w:t>265400</w:t>
      </w:r>
    </w:p>
    <w:p>
      <w:pPr>
        <w:spacing w:line="360" w:lineRule="auto"/>
        <w:ind w:right="70" w:firstLine="562" w:firstLineChars="200"/>
        <w:rPr>
          <w:rFonts w:hint="eastAsia" w:ascii="仿宋_GB2312" w:hAnsi="宋体" w:eastAsia="仿宋_GB2312"/>
          <w:b/>
          <w:bCs/>
          <w:color w:val="C00000"/>
          <w:sz w:val="28"/>
          <w:szCs w:val="28"/>
          <w:lang w:eastAsia="zh-CN"/>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eastAsia="zh-CN"/>
        </w:rPr>
        <w:t>无</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单位名称：山东金宝电子股份有限公司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秦忠菊</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r>
        <w:rPr>
          <w:rFonts w:hint="eastAsia" w:ascii="仿宋_GB2312" w:hAnsi="宋体" w:eastAsia="仿宋_GB2312"/>
          <w:b/>
          <w:bCs/>
          <w:sz w:val="28"/>
          <w:szCs w:val="28"/>
          <w:highlight w:val="yellow"/>
          <w:lang w:eastAsia="zh-CN"/>
        </w:rPr>
        <w:t>，也可发送至指定邮箱</w:t>
      </w:r>
      <w:r>
        <w:rPr>
          <w:rFonts w:hint="eastAsia" w:ascii="仿宋_GB2312" w:hAnsi="宋体" w:eastAsia="仿宋_GB2312"/>
          <w:b/>
          <w:bCs/>
          <w:sz w:val="28"/>
          <w:szCs w:val="28"/>
          <w:highlight w:val="yellow"/>
        </w:rPr>
        <w:t>。</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620" w:lineRule="exact"/>
        <w:ind w:right="70" w:firstLine="560" w:firstLineChars="200"/>
        <w:rPr>
          <w:rFonts w:ascii="仿宋_GB2312" w:hAnsi="宋体" w:eastAsia="仿宋_GB2312"/>
          <w:sz w:val="28"/>
          <w:szCs w:val="28"/>
        </w:rPr>
      </w:pPr>
      <w:r>
        <w:rPr>
          <w:rFonts w:hint="eastAsia" w:ascii="仿宋_GB2312" w:hAnsi="宋体" w:eastAsia="仿宋_GB2312"/>
          <w:sz w:val="28"/>
          <w:szCs w:val="28"/>
        </w:rPr>
        <w:t>①安装完成验收合格付款90%</w:t>
      </w:r>
      <w:r>
        <w:rPr>
          <w:rFonts w:hint="eastAsia" w:ascii="仿宋_GB2312" w:hAnsi="宋体" w:eastAsia="仿宋_GB2312" w:cs="Times New Roman"/>
          <w:sz w:val="28"/>
          <w:szCs w:val="28"/>
        </w:rPr>
        <w:t>（甲方收到全额发票后付款）</w:t>
      </w:r>
      <w:r>
        <w:rPr>
          <w:rFonts w:hint="eastAsia" w:ascii="仿宋_GB2312" w:hAnsi="宋体" w:eastAsia="仿宋_GB2312"/>
          <w:sz w:val="28"/>
          <w:szCs w:val="28"/>
        </w:rPr>
        <w:t>；②质保金10%（一年后付清）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 xml:space="preserve">3. </w:t>
      </w:r>
      <w:r>
        <w:rPr>
          <w:rFonts w:hint="eastAsia" w:ascii="仿宋_GB2312" w:hAnsi="宋体" w:eastAsia="仿宋_GB2312" w:cs="Times New Roman"/>
          <w:sz w:val="28"/>
          <w:szCs w:val="28"/>
        </w:rPr>
        <w:t>比上述更优越的付款条件</w:t>
      </w:r>
      <w:r>
        <w:rPr>
          <w:rFonts w:hint="eastAsia" w:ascii="仿宋_GB2312" w:hAnsi="宋体" w:eastAsia="仿宋_GB2312"/>
          <w:sz w:val="28"/>
          <w:szCs w:val="28"/>
        </w:rPr>
        <w:t>；</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4、售后或其他要求：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1"/>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rPr>
        <w:t xml:space="preserve">     个</w:t>
      </w:r>
      <w:r>
        <w:rPr>
          <w:rFonts w:ascii="仿宋_GB2312" w:hAnsi="宋体" w:eastAsia="仿宋_GB2312"/>
          <w:sz w:val="28"/>
          <w:szCs w:val="28"/>
        </w:rPr>
        <w:t>日历日</w:t>
      </w:r>
      <w:r>
        <w:rPr>
          <w:rFonts w:hint="eastAsia" w:ascii="仿宋_GB2312" w:hAnsi="宋体" w:eastAsia="仿宋_GB2312"/>
          <w:sz w:val="28"/>
          <w:szCs w:val="28"/>
        </w:rPr>
        <w:t>发货。</w:t>
      </w:r>
    </w:p>
    <w:p>
      <w:pPr>
        <w:pStyle w:val="11"/>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2、交货地点：铜箔天府路厂。</w:t>
      </w: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spacing w:line="620" w:lineRule="exact"/>
        <w:rPr>
          <w:rFonts w:ascii="仿宋_GB2312" w:hAnsi="仿宋_GB2312" w:eastAsia="仿宋_GB2312" w:cs="仿宋_GB2312"/>
          <w:sz w:val="28"/>
          <w:szCs w:val="32"/>
        </w:rPr>
      </w:pPr>
      <w:r>
        <w:rPr>
          <w:rFonts w:hint="eastAsia" w:ascii="仿宋_GB2312" w:hAnsi="仿宋_GB2312" w:eastAsia="仿宋_GB2312" w:cs="仿宋_GB2312"/>
          <w:sz w:val="28"/>
          <w:szCs w:val="32"/>
        </w:rPr>
        <w:t>一、改造项目基本依据</w:t>
      </w:r>
    </w:p>
    <w:p>
      <w:pPr>
        <w:spacing w:line="6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根据铜箔生产工艺要求</w:t>
      </w:r>
    </w:p>
    <w:p>
      <w:pPr>
        <w:spacing w:line="620" w:lineRule="exact"/>
        <w:rPr>
          <w:rFonts w:ascii="仿宋_GB2312" w:hAnsi="仿宋_GB2312" w:eastAsia="仿宋_GB2312" w:cs="仿宋_GB2312"/>
          <w:sz w:val="28"/>
          <w:szCs w:val="32"/>
        </w:rPr>
      </w:pPr>
      <w:r>
        <w:rPr>
          <w:rFonts w:hint="eastAsia" w:ascii="仿宋_GB2312" w:hAnsi="仿宋_GB2312" w:eastAsia="仿宋_GB2312" w:cs="仿宋_GB2312"/>
          <w:sz w:val="28"/>
          <w:szCs w:val="32"/>
        </w:rPr>
        <w:t>二、工程介绍及要求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本次招标项目为金宝电子铜箔天府路厂表面溶铜升级改造的设计、采购与安装项目，位置位于山东省招远市。本项目包括表面溶铜所涉及的热工过程工艺参数的监控、调节、联锁、保护、报警、记录等。上位机可以操控所有自控系统，并保证温度、压力等工艺参数要在上位机保存1年以上，在需要的时候可以随时拷贝使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1.本工程采用总承包方式建造，根据提供的厂房区域及参数设计图纸要求，完成表面溶铜提升改造项目自控系统的设计、安装、调试和培训等。</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2.投标人必须有铜箔生产自控系统的设计、安装</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调试相关资质和经验</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拥有制造、安装、调试、生产操作、维修的技术人才，有效的管理体制，有严格的质量保证体系，有同类型项目设计、安装的丰富经验和业绩。投标方应充分论证、优化设计和合理选型。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3.本工程采用包工、包料、包工期、包质量、包安全、包文明施工、包竣工验收等，招标方提供的方案如有和现场不符，以现场为准。</w:t>
      </w:r>
      <w:r>
        <w:rPr>
          <w:rFonts w:ascii="仿宋_GB2312" w:hAnsi="仿宋_GB2312" w:eastAsia="仿宋_GB2312" w:cs="仿宋_GB2312"/>
          <w:sz w:val="28"/>
          <w:szCs w:val="32"/>
        </w:rPr>
        <w:t xml:space="preserve"> </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4.开工前场地勘察和布置规划由投标方负责。</w:t>
      </w:r>
    </w:p>
    <w:p>
      <w:pPr>
        <w:numPr>
          <w:ilvl w:val="0"/>
          <w:numId w:val="5"/>
        </w:numPr>
        <w:adjustRightInd w:val="0"/>
        <w:snapToGrid w:val="0"/>
        <w:spacing w:after="72"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工程范围及技术要求：</w:t>
      </w:r>
    </w:p>
    <w:p>
      <w:pPr>
        <w:adjustRightInd w:val="0"/>
        <w:snapToGrid w:val="0"/>
        <w:spacing w:after="72"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3.1控制柜清单</w:t>
      </w:r>
      <w:r>
        <w:rPr>
          <w:rFonts w:hint="eastAsia" w:ascii="仿宋_GB2312" w:hAnsi="仿宋_GB2312" w:eastAsia="仿宋_GB2312" w:cs="仿宋_GB2312"/>
          <w:sz w:val="28"/>
          <w:szCs w:val="32"/>
        </w:rPr>
        <w:tab/>
      </w:r>
      <w:r>
        <w:rPr>
          <w:rFonts w:hint="eastAsia" w:ascii="仿宋_GB2312" w:hAnsi="仿宋_GB2312" w:eastAsia="仿宋_GB2312" w:cs="仿宋_GB2312"/>
          <w:sz w:val="28"/>
          <w:szCs w:val="32"/>
        </w:rPr>
        <w:t>：</w:t>
      </w:r>
    </w:p>
    <w:tbl>
      <w:tblPr>
        <w:tblStyle w:val="6"/>
        <w:tblpPr w:leftFromText="180" w:rightFromText="180" w:vertAnchor="text" w:horzAnchor="page" w:tblpX="1165" w:tblpY="619"/>
        <w:tblOverlap w:val="never"/>
        <w:tblW w:w="9409" w:type="dxa"/>
        <w:tblInd w:w="0" w:type="dxa"/>
        <w:tblLayout w:type="fixed"/>
        <w:tblCellMar>
          <w:top w:w="15" w:type="dxa"/>
          <w:left w:w="15" w:type="dxa"/>
          <w:bottom w:w="15" w:type="dxa"/>
          <w:right w:w="15" w:type="dxa"/>
        </w:tblCellMar>
      </w:tblPr>
      <w:tblGrid>
        <w:gridCol w:w="866"/>
        <w:gridCol w:w="2603"/>
        <w:gridCol w:w="3225"/>
        <w:gridCol w:w="1470"/>
        <w:gridCol w:w="1245"/>
      </w:tblGrid>
      <w:tr>
        <w:tblPrEx>
          <w:tblCellMar>
            <w:top w:w="15" w:type="dxa"/>
            <w:left w:w="15" w:type="dxa"/>
            <w:bottom w:w="15" w:type="dxa"/>
            <w:right w:w="15" w:type="dxa"/>
          </w:tblCellMar>
        </w:tblPrEx>
        <w:trPr>
          <w:trHeight w:val="585"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序号</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名称</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规格型号</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单位</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数量</w:t>
            </w:r>
          </w:p>
        </w:tc>
      </w:tr>
      <w:tr>
        <w:tblPrEx>
          <w:tblCellMar>
            <w:top w:w="15" w:type="dxa"/>
            <w:left w:w="15" w:type="dxa"/>
            <w:bottom w:w="15" w:type="dxa"/>
            <w:right w:w="15" w:type="dxa"/>
          </w:tblCellMar>
        </w:tblPrEx>
        <w:trPr>
          <w:trHeight w:val="585"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表面溶铜控制柜</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1600*600*400</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台</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w:t>
            </w:r>
          </w:p>
        </w:tc>
      </w:tr>
    </w:tbl>
    <w:p>
      <w:pPr>
        <w:pStyle w:val="11"/>
        <w:spacing w:line="360" w:lineRule="auto"/>
        <w:ind w:right="69" w:rightChars="33"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3.2工程范围</w:t>
      </w:r>
    </w:p>
    <w:p>
      <w:pPr>
        <w:pStyle w:val="11"/>
        <w:spacing w:line="360" w:lineRule="auto"/>
        <w:ind w:right="69" w:rightChars="33"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（1）中标方负责控制柜就位、电缆桥架的安装、电缆的铺设及接线调试；</w:t>
      </w:r>
    </w:p>
    <w:p>
      <w:pPr>
        <w:pStyle w:val="11"/>
        <w:spacing w:line="360" w:lineRule="auto"/>
        <w:ind w:right="69" w:rightChars="33"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（2）中标方负责除上述设备、材料外，安装所用其他辅材如：穿线管、卡扣、螺栓、绝缘胶带、波纹管及其他安装辅料材料、配套设施；</w:t>
      </w:r>
    </w:p>
    <w:p>
      <w:pPr>
        <w:pStyle w:val="11"/>
        <w:spacing w:line="360" w:lineRule="auto"/>
        <w:ind w:right="69" w:rightChars="33"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3）中标方负责自控仪表及设备的供货及安装。自控仪表及设备按质量控制体系按ISO9001-2000质量体系执行，提供符合招标方项目建设地气象极限条件的产品，并应充分考虑现场气候的腐蚀性问题，技术参数、技术要求之依据为招标方工艺设备提供的数据和要求，以及工艺专业自控设计条件。对于设备或管道上所安装的仪表的连接辅材（如法兰、底座等）由中标方提供，但其焊接及相应管道开孔按中标方提出的相关安装要求，由业主完成。</w:t>
      </w:r>
    </w:p>
    <w:p>
      <w:pPr>
        <w:pStyle w:val="11"/>
        <w:spacing w:line="360" w:lineRule="auto"/>
        <w:ind w:right="69" w:rightChars="33" w:firstLine="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3.3现场仪表技术及辅件要求：</w:t>
      </w:r>
    </w:p>
    <w:p>
      <w:pPr>
        <w:pStyle w:val="11"/>
        <w:spacing w:line="360" w:lineRule="auto"/>
        <w:ind w:firstLine="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3.3.1雷达液位计</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数量：5台，工况参数见表。</w:t>
      </w:r>
    </w:p>
    <w:p>
      <w:pPr>
        <w:widowControl/>
        <w:spacing w:line="360" w:lineRule="auto"/>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测量功能：完成液体的物位的测量</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测量范围：见工况参数表</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 xml:space="preserve">精度：±3 mm（测量距离≤10 m/33 ft）； </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电源：12...30 VDC</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信号输出：4~20mA（HART）</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天线材质：根据工况而定</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品牌：进口品牌</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3.3.2 电动调节阀</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数量：8台，工况参数及要求见表。</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调节功能：通过调节剂量（低温水、冷水、热水、蒸汽）实现对被控变量的调节</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控制信号：4~20mA（或0~10VAC）</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反馈信号：4~20mA（或0~10VAC）</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供电：AC24V</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配管方式：法兰式，HG20592-2009</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流量特性：等百分比或线性（可设定）</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安全位置：失电阀门关闭（电开式）</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品牌：进口</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3.3.3 温度传感及变送器</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数量：8台，工况参数及要求见表。</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测量范围：0~100℃</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安装长度：见工况参数表</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连接规格：M27×2</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测温件保护管及螺纹材质：详见附表</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温度变送器：带</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输出信号：4-20mA</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精度：A级</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品牌：国内知名品牌</w:t>
      </w:r>
    </w:p>
    <w:p>
      <w:pPr>
        <w:pStyle w:val="5"/>
        <w:shd w:val="clear" w:color="auto" w:fill="FFFFFF"/>
        <w:spacing w:beforeAutospacing="0" w:afterAutospacing="0" w:line="450" w:lineRule="atLeast"/>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3.3.4 PH电极</w:t>
      </w:r>
    </w:p>
    <w:p>
      <w:pPr>
        <w:pStyle w:val="5"/>
        <w:shd w:val="clear" w:color="auto" w:fill="FFFFFF"/>
        <w:spacing w:beforeAutospacing="0" w:afterAutospacing="0" w:line="450" w:lineRule="atLeast"/>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数量：3台，工况参数及要求见表。</w:t>
      </w:r>
    </w:p>
    <w:p>
      <w:pPr>
        <w:pStyle w:val="5"/>
        <w:shd w:val="clear" w:color="auto" w:fill="FFFFFF"/>
        <w:spacing w:beforeAutospacing="0" w:afterAutospacing="0" w:line="450" w:lineRule="atLeast"/>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 xml:space="preserve">测量范围：0-14pH   </w:t>
      </w:r>
    </w:p>
    <w:p>
      <w:pPr>
        <w:pStyle w:val="5"/>
        <w:shd w:val="clear" w:color="auto" w:fill="FFFFFF"/>
        <w:spacing w:beforeAutospacing="0" w:afterAutospacing="0" w:line="450" w:lineRule="atLeast"/>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输出信号：4~20mA+HART，一体化变送</w:t>
      </w:r>
    </w:p>
    <w:p>
      <w:pPr>
        <w:pStyle w:val="5"/>
        <w:shd w:val="clear" w:color="auto" w:fill="FFFFFF"/>
        <w:spacing w:beforeAutospacing="0" w:afterAutospacing="0" w:line="450" w:lineRule="atLeast"/>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防护等级：IP68</w:t>
      </w:r>
    </w:p>
    <w:p>
      <w:pPr>
        <w:pStyle w:val="5"/>
        <w:shd w:val="clear" w:color="auto" w:fill="FFFFFF"/>
        <w:spacing w:beforeAutospacing="0" w:afterAutospacing="0" w:line="450" w:lineRule="atLeast"/>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过程连接：PG13.5</w:t>
      </w:r>
    </w:p>
    <w:p>
      <w:pPr>
        <w:pStyle w:val="5"/>
        <w:shd w:val="clear" w:color="auto" w:fill="FFFFFF"/>
        <w:spacing w:beforeAutospacing="0" w:afterAutospacing="0" w:line="450" w:lineRule="atLeast"/>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含Pt1000温度补偿</w:t>
      </w:r>
    </w:p>
    <w:p>
      <w:pPr>
        <w:pStyle w:val="5"/>
        <w:shd w:val="clear" w:color="auto" w:fill="FFFFFF"/>
        <w:spacing w:beforeAutospacing="0" w:afterAutospacing="0" w:line="450" w:lineRule="atLeast"/>
        <w:rPr>
          <w:rFonts w:ascii="仿宋_GB2312" w:hAnsi="仿宋_GB2312" w:eastAsia="仿宋_GB2312" w:cs="仿宋_GB2312"/>
          <w:kern w:val="2"/>
          <w:sz w:val="28"/>
          <w:szCs w:val="32"/>
        </w:rPr>
      </w:pPr>
      <w:r>
        <w:rPr>
          <w:rFonts w:hint="eastAsia" w:ascii="仿宋_GB2312" w:hAnsi="仿宋_GB2312" w:eastAsia="仿宋_GB2312" w:cs="仿宋_GB2312"/>
          <w:kern w:val="2"/>
          <w:sz w:val="28"/>
          <w:szCs w:val="32"/>
        </w:rPr>
        <w:t>品牌：进口</w:t>
      </w:r>
    </w:p>
    <w:p>
      <w:pPr>
        <w:adjustRightInd w:val="0"/>
        <w:snapToGrid w:val="0"/>
        <w:spacing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3.3.5屏蔽电缆采用红铜或镀锡铜组成的金属网状编织层；导线截面积及屏蔽网应符合国家标准；</w:t>
      </w:r>
      <w:r>
        <w:rPr>
          <w:rFonts w:hint="eastAsia" w:ascii="仿宋_GB2312" w:hAnsi="仿宋_GB2312" w:eastAsia="仿宋_GB2312" w:cs="仿宋_GB2312"/>
          <w:sz w:val="28"/>
          <w:szCs w:val="32"/>
          <w:highlight w:val="yellow"/>
        </w:rPr>
        <w:t>数量根据现场确定，原有桥架无需更换。</w:t>
      </w:r>
    </w:p>
    <w:p>
      <w:pPr>
        <w:adjustRightInd w:val="0"/>
        <w:snapToGrid w:val="0"/>
        <w:spacing w:line="360" w:lineRule="auto"/>
        <w:rPr>
          <w:rFonts w:ascii="仿宋_GB2312" w:hAnsi="仿宋_GB2312" w:eastAsia="仿宋_GB2312" w:cs="仿宋_GB2312"/>
          <w:b/>
          <w:sz w:val="28"/>
          <w:szCs w:val="32"/>
        </w:rPr>
      </w:pPr>
      <w:r>
        <w:rPr>
          <w:rFonts w:hint="eastAsia" w:ascii="仿宋_GB2312" w:hAnsi="仿宋_GB2312" w:eastAsia="仿宋_GB2312" w:cs="仿宋_GB2312"/>
          <w:sz w:val="28"/>
          <w:szCs w:val="32"/>
        </w:rPr>
        <w:t>屏蔽电缆执行国家标准：</w:t>
      </w:r>
      <w:r>
        <w:rPr>
          <w:rFonts w:hint="eastAsia" w:ascii="仿宋_GB2312" w:hAnsi="仿宋_GB2312" w:eastAsia="仿宋_GB2312" w:cs="仿宋_GB2312"/>
          <w:b/>
          <w:sz w:val="28"/>
          <w:szCs w:val="32"/>
        </w:rPr>
        <w:t>JB/T8734.5-2012</w:t>
      </w:r>
    </w:p>
    <w:p>
      <w:pPr>
        <w:adjustRightInd w:val="0"/>
        <w:snapToGrid w:val="0"/>
        <w:spacing w:line="360" w:lineRule="auto"/>
        <w:rPr>
          <w:rFonts w:ascii="仿宋_GB2312" w:hAnsi="仿宋_GB2312" w:eastAsia="仿宋_GB2312" w:cs="仿宋_GB2312"/>
          <w:b/>
          <w:sz w:val="28"/>
          <w:szCs w:val="32"/>
        </w:rPr>
      </w:pPr>
      <w:r>
        <w:rPr>
          <w:rFonts w:hint="eastAsia" w:ascii="仿宋_GB2312" w:hAnsi="仿宋_GB2312" w:eastAsia="仿宋_GB2312" w:cs="仿宋_GB2312"/>
          <w:sz w:val="28"/>
          <w:szCs w:val="32"/>
        </w:rPr>
        <w:t>机械性能试验：</w:t>
      </w:r>
      <w:r>
        <w:rPr>
          <w:rFonts w:hint="eastAsia" w:ascii="仿宋_GB2312" w:hAnsi="仿宋_GB2312" w:eastAsia="仿宋_GB2312" w:cs="仿宋_GB2312"/>
          <w:b/>
          <w:sz w:val="28"/>
          <w:szCs w:val="32"/>
        </w:rPr>
        <w:t>GB/T  2951.11-2008</w:t>
      </w:r>
    </w:p>
    <w:p>
      <w:pPr>
        <w:adjustRightInd w:val="0"/>
        <w:snapToGrid w:val="0"/>
        <w:spacing w:line="360" w:lineRule="auto"/>
        <w:rPr>
          <w:rFonts w:ascii="仿宋_GB2312" w:hAnsi="仿宋_GB2312" w:eastAsia="仿宋_GB2312" w:cs="仿宋_GB2312"/>
          <w:b/>
          <w:sz w:val="28"/>
          <w:szCs w:val="32"/>
        </w:rPr>
      </w:pPr>
      <w:r>
        <w:rPr>
          <w:rFonts w:hint="eastAsia" w:ascii="仿宋_GB2312" w:hAnsi="仿宋_GB2312" w:eastAsia="仿宋_GB2312" w:cs="仿宋_GB2312"/>
          <w:sz w:val="28"/>
          <w:szCs w:val="32"/>
        </w:rPr>
        <w:t>热老化试验：</w:t>
      </w:r>
      <w:r>
        <w:rPr>
          <w:rFonts w:hint="eastAsia" w:ascii="仿宋_GB2312" w:hAnsi="仿宋_GB2312" w:eastAsia="仿宋_GB2312" w:cs="仿宋_GB2312"/>
          <w:b/>
          <w:sz w:val="28"/>
          <w:szCs w:val="32"/>
        </w:rPr>
        <w:t xml:space="preserve">  GB/T  2951.12-2008</w:t>
      </w:r>
    </w:p>
    <w:p>
      <w:pPr>
        <w:adjustRightInd w:val="0"/>
        <w:snapToGrid w:val="0"/>
        <w:spacing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导线长期允许工作温度不超过90℃，适用于额定电压300V及以下控制及保护线路的连接线。</w:t>
      </w:r>
    </w:p>
    <w:p>
      <w:pPr>
        <w:pStyle w:val="13"/>
        <w:spacing w:line="360" w:lineRule="auto"/>
        <w:rPr>
          <w:rFonts w:ascii="仿宋_GB2312" w:hAnsi="仿宋_GB2312" w:eastAsia="仿宋_GB2312" w:cs="仿宋_GB2312"/>
          <w:color w:val="auto"/>
          <w:kern w:val="2"/>
          <w:sz w:val="28"/>
          <w:szCs w:val="32"/>
        </w:rPr>
      </w:pPr>
      <w:r>
        <w:rPr>
          <w:rFonts w:hint="eastAsia" w:ascii="仿宋_GB2312" w:hAnsi="仿宋_GB2312" w:eastAsia="仿宋_GB2312" w:cs="仿宋_GB2312"/>
          <w:color w:val="auto"/>
          <w:kern w:val="2"/>
          <w:sz w:val="28"/>
          <w:szCs w:val="32"/>
        </w:rPr>
        <w:t>3.4 计算机控制系统技术要求</w:t>
      </w:r>
    </w:p>
    <w:p>
      <w:pPr>
        <w:adjustRightInd w:val="0"/>
        <w:snapToGrid w:val="0"/>
        <w:spacing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3.4.1提供满足本技术规范要求所必需的硬件、软件和各项服务。其中包括(但不限于)下列内容：</w:t>
      </w:r>
    </w:p>
    <w:p>
      <w:pPr>
        <w:adjustRightInd w:val="0"/>
        <w:snapToGrid w:val="0"/>
        <w:spacing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1）按照系统运行要求、本技术规范的规定和适用的工业标准，配置西门子S7-300 PLC和上位机控制系统。</w:t>
      </w:r>
    </w:p>
    <w:p>
      <w:pPr>
        <w:adjustRightInd w:val="0"/>
        <w:snapToGrid w:val="0"/>
        <w:spacing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2）提供构成PLC所必需的全部硬件、软件，以及软件组态工作，以及PLC与上位机控制系统之间的设备协调，并负责相关的硬接线和通讯设备及接口工作，并承诺接口的形式和数量能够满足招标方对控制系统整体设计方案的要求。</w:t>
      </w:r>
    </w:p>
    <w:p>
      <w:pPr>
        <w:adjustRightInd w:val="0"/>
        <w:snapToGrid w:val="0"/>
        <w:spacing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3）达到本技术规范规定的全部功能要求，进行PLC及上位机软件的组态编程和系统调试。</w:t>
      </w:r>
    </w:p>
    <w:p>
      <w:pPr>
        <w:adjustRightInd w:val="0"/>
        <w:snapToGrid w:val="0"/>
        <w:spacing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4）根据本技术规范的要求，提供必需的安装详图和安装指导。向买方提供施工图设计、安装调试、运行维护、系统二次开发所需的全部图纸、资料。</w:t>
      </w:r>
    </w:p>
    <w:p>
      <w:pPr>
        <w:adjustRightInd w:val="0"/>
        <w:snapToGrid w:val="0"/>
        <w:spacing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5）负责培训买方的运行和维护工程技术人员，并使这些培训人员能进行PLC和上位机软件简单的修改和调试。</w:t>
      </w:r>
    </w:p>
    <w:p>
      <w:pPr>
        <w:adjustRightInd w:val="0"/>
        <w:snapToGrid w:val="0"/>
        <w:spacing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6）负责提供完善的售后和后续服务，包括备品备件的供应、必要时系统的扩展和系统的维护等。</w:t>
      </w:r>
    </w:p>
    <w:p>
      <w:pPr>
        <w:spacing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3.5质保期：壹年。</w:t>
      </w:r>
    </w:p>
    <w:p>
      <w:pPr>
        <w:adjustRightInd w:val="0"/>
        <w:snapToGrid w:val="0"/>
        <w:spacing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3.6本次招标采购标的，运输、卸车、吊装、搬运、拆卸及所需的工具等费用均由投标方负责；</w:t>
      </w:r>
    </w:p>
    <w:p>
      <w:pPr>
        <w:adjustRightInd w:val="0"/>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注：以上技术指标建议投标方到铜箔天府路厂现场进一步落实技术参数后进行投标。</w:t>
      </w:r>
      <w:r>
        <w:rPr>
          <w:rFonts w:ascii="仿宋_GB2312" w:hAnsi="仿宋_GB2312" w:eastAsia="仿宋_GB2312" w:cs="仿宋_GB2312"/>
          <w:color w:val="FF0000"/>
          <w:sz w:val="32"/>
          <w:szCs w:val="32"/>
        </w:rPr>
        <w:t xml:space="preserve"> </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四、违约责任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未按照合同约定履行义务或供货未达到招标方要求，除前款已有约定外，中标方还应按合同总值的20%向招标方支付违约金，并赔偿由此给招标方造成的全部损失，招标方有权自应付款中直接扣除，不足部分中标方仍须赔偿，且招标方有权解除合同，而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五、有关知识产权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b/>
        <w:bCs/>
      </w:r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abstractNum w:abstractNumId="4">
    <w:nsid w:val="7E777FD5"/>
    <w:multiLevelType w:val="singleLevel"/>
    <w:tmpl w:val="7E777FD5"/>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70820"/>
    <w:rsid w:val="000140A9"/>
    <w:rsid w:val="0002639C"/>
    <w:rsid w:val="00036F46"/>
    <w:rsid w:val="00066F84"/>
    <w:rsid w:val="00097401"/>
    <w:rsid w:val="000A04FB"/>
    <w:rsid w:val="000F2FB0"/>
    <w:rsid w:val="001217FC"/>
    <w:rsid w:val="0013572F"/>
    <w:rsid w:val="00153B2F"/>
    <w:rsid w:val="001617A0"/>
    <w:rsid w:val="001815FF"/>
    <w:rsid w:val="001D0E12"/>
    <w:rsid w:val="00201108"/>
    <w:rsid w:val="00242018"/>
    <w:rsid w:val="002427B8"/>
    <w:rsid w:val="0031742A"/>
    <w:rsid w:val="00340D2C"/>
    <w:rsid w:val="0035221B"/>
    <w:rsid w:val="00385165"/>
    <w:rsid w:val="003F09B9"/>
    <w:rsid w:val="004044EC"/>
    <w:rsid w:val="00434F86"/>
    <w:rsid w:val="00446AA9"/>
    <w:rsid w:val="00447816"/>
    <w:rsid w:val="004500EE"/>
    <w:rsid w:val="00464B79"/>
    <w:rsid w:val="0048716E"/>
    <w:rsid w:val="00496BF6"/>
    <w:rsid w:val="004C1FC6"/>
    <w:rsid w:val="004F2EB8"/>
    <w:rsid w:val="00505835"/>
    <w:rsid w:val="00515127"/>
    <w:rsid w:val="00542B2D"/>
    <w:rsid w:val="00543389"/>
    <w:rsid w:val="00544194"/>
    <w:rsid w:val="005B5E50"/>
    <w:rsid w:val="005D1CFE"/>
    <w:rsid w:val="005E6B4B"/>
    <w:rsid w:val="005F392F"/>
    <w:rsid w:val="006457F3"/>
    <w:rsid w:val="00670B15"/>
    <w:rsid w:val="006A6992"/>
    <w:rsid w:val="006D462D"/>
    <w:rsid w:val="006D6272"/>
    <w:rsid w:val="007106C3"/>
    <w:rsid w:val="007171D2"/>
    <w:rsid w:val="007200B5"/>
    <w:rsid w:val="00746246"/>
    <w:rsid w:val="007576FD"/>
    <w:rsid w:val="00773134"/>
    <w:rsid w:val="007C5761"/>
    <w:rsid w:val="00810526"/>
    <w:rsid w:val="0081621E"/>
    <w:rsid w:val="00820DB8"/>
    <w:rsid w:val="008269DC"/>
    <w:rsid w:val="00832C08"/>
    <w:rsid w:val="00870A95"/>
    <w:rsid w:val="00877824"/>
    <w:rsid w:val="00894F8F"/>
    <w:rsid w:val="008B46E9"/>
    <w:rsid w:val="008D3CEE"/>
    <w:rsid w:val="00912E27"/>
    <w:rsid w:val="00924D21"/>
    <w:rsid w:val="0095248A"/>
    <w:rsid w:val="00963A40"/>
    <w:rsid w:val="009650B7"/>
    <w:rsid w:val="009D4BBC"/>
    <w:rsid w:val="009D5B70"/>
    <w:rsid w:val="009E1A4D"/>
    <w:rsid w:val="00A37EC4"/>
    <w:rsid w:val="00A6047A"/>
    <w:rsid w:val="00A74DBB"/>
    <w:rsid w:val="00A87C26"/>
    <w:rsid w:val="00B02199"/>
    <w:rsid w:val="00B02A04"/>
    <w:rsid w:val="00B06E5F"/>
    <w:rsid w:val="00B142FC"/>
    <w:rsid w:val="00B15EB1"/>
    <w:rsid w:val="00B37251"/>
    <w:rsid w:val="00B637ED"/>
    <w:rsid w:val="00B66E69"/>
    <w:rsid w:val="00B75E47"/>
    <w:rsid w:val="00B858A1"/>
    <w:rsid w:val="00BE2C08"/>
    <w:rsid w:val="00BE5080"/>
    <w:rsid w:val="00C327A2"/>
    <w:rsid w:val="00C354EF"/>
    <w:rsid w:val="00C36BDA"/>
    <w:rsid w:val="00C756C1"/>
    <w:rsid w:val="00CA062E"/>
    <w:rsid w:val="00CF1DD5"/>
    <w:rsid w:val="00D1664D"/>
    <w:rsid w:val="00D3366E"/>
    <w:rsid w:val="00D4147A"/>
    <w:rsid w:val="00D813B1"/>
    <w:rsid w:val="00D9703E"/>
    <w:rsid w:val="00DE587A"/>
    <w:rsid w:val="00DE7334"/>
    <w:rsid w:val="00E108FE"/>
    <w:rsid w:val="00E15EAC"/>
    <w:rsid w:val="00E225CA"/>
    <w:rsid w:val="00E602BD"/>
    <w:rsid w:val="00E7566F"/>
    <w:rsid w:val="00E80FFB"/>
    <w:rsid w:val="00ED1463"/>
    <w:rsid w:val="00F04AE1"/>
    <w:rsid w:val="00F1223D"/>
    <w:rsid w:val="00F20309"/>
    <w:rsid w:val="00F9392B"/>
    <w:rsid w:val="00F94F76"/>
    <w:rsid w:val="00FC13DD"/>
    <w:rsid w:val="00FD03BA"/>
    <w:rsid w:val="00FF037C"/>
    <w:rsid w:val="00FF0717"/>
    <w:rsid w:val="00FF5E3A"/>
    <w:rsid w:val="02F44726"/>
    <w:rsid w:val="052F7BE9"/>
    <w:rsid w:val="07E354E8"/>
    <w:rsid w:val="092D3A77"/>
    <w:rsid w:val="098B184A"/>
    <w:rsid w:val="0DB77E27"/>
    <w:rsid w:val="0DCB704F"/>
    <w:rsid w:val="107E1436"/>
    <w:rsid w:val="107F16C6"/>
    <w:rsid w:val="14D70820"/>
    <w:rsid w:val="18AB3EEC"/>
    <w:rsid w:val="190C6619"/>
    <w:rsid w:val="199D333E"/>
    <w:rsid w:val="1E0848A5"/>
    <w:rsid w:val="1E3F18D8"/>
    <w:rsid w:val="1F456344"/>
    <w:rsid w:val="219A24C7"/>
    <w:rsid w:val="233D6EE4"/>
    <w:rsid w:val="23557DEB"/>
    <w:rsid w:val="24231D8E"/>
    <w:rsid w:val="24360A08"/>
    <w:rsid w:val="25915A0E"/>
    <w:rsid w:val="261A4D4C"/>
    <w:rsid w:val="27A527BF"/>
    <w:rsid w:val="27C33CA0"/>
    <w:rsid w:val="2A6A5A19"/>
    <w:rsid w:val="2B5108D7"/>
    <w:rsid w:val="2B7C2FDF"/>
    <w:rsid w:val="2BE66046"/>
    <w:rsid w:val="2E6D47B6"/>
    <w:rsid w:val="2EFB6735"/>
    <w:rsid w:val="305220E0"/>
    <w:rsid w:val="306C3DFF"/>
    <w:rsid w:val="31B30842"/>
    <w:rsid w:val="3202624E"/>
    <w:rsid w:val="34377F50"/>
    <w:rsid w:val="3E25152A"/>
    <w:rsid w:val="3FFA719D"/>
    <w:rsid w:val="403445E0"/>
    <w:rsid w:val="406C535E"/>
    <w:rsid w:val="43E837B0"/>
    <w:rsid w:val="45011451"/>
    <w:rsid w:val="49586F36"/>
    <w:rsid w:val="4AC23C30"/>
    <w:rsid w:val="4CA95EBA"/>
    <w:rsid w:val="4DFC6236"/>
    <w:rsid w:val="51AD6F01"/>
    <w:rsid w:val="52363323"/>
    <w:rsid w:val="52D954E2"/>
    <w:rsid w:val="538B5D6C"/>
    <w:rsid w:val="546759DA"/>
    <w:rsid w:val="547C4E2A"/>
    <w:rsid w:val="54C67B58"/>
    <w:rsid w:val="5D054434"/>
    <w:rsid w:val="5EA87FAD"/>
    <w:rsid w:val="636546D8"/>
    <w:rsid w:val="638F45DC"/>
    <w:rsid w:val="64AB558A"/>
    <w:rsid w:val="6A93015D"/>
    <w:rsid w:val="6DC2661B"/>
    <w:rsid w:val="712C5A62"/>
    <w:rsid w:val="7452317D"/>
    <w:rsid w:val="753D7DC7"/>
    <w:rsid w:val="75936E93"/>
    <w:rsid w:val="760A5128"/>
    <w:rsid w:val="7B78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eastAsia="宋体"/>
      <w:kern w:val="2"/>
      <w:sz w:val="18"/>
      <w:szCs w:val="18"/>
    </w:rPr>
  </w:style>
  <w:style w:type="character" w:customStyle="1" w:styleId="10">
    <w:name w:val="页脚 Char"/>
    <w:basedOn w:val="7"/>
    <w:link w:val="3"/>
    <w:qFormat/>
    <w:uiPriority w:val="99"/>
    <w:rPr>
      <w:rFonts w:eastAsia="宋体"/>
      <w:kern w:val="2"/>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7"/>
    <w:link w:val="2"/>
    <w:qFormat/>
    <w:uiPriority w:val="0"/>
    <w:rPr>
      <w:rFonts w:eastAsia="宋体"/>
      <w:kern w:val="2"/>
      <w:sz w:val="18"/>
      <w:szCs w:val="18"/>
    </w:rPr>
  </w:style>
  <w:style w:type="paragraph" w:customStyle="1" w:styleId="13">
    <w:name w:val="Default"/>
    <w:qFormat/>
    <w:uiPriority w:val="0"/>
    <w:pPr>
      <w:widowControl w:val="0"/>
      <w:autoSpaceDE w:val="0"/>
      <w:autoSpaceDN w:val="0"/>
      <w:adjustRightInd w:val="0"/>
    </w:pPr>
    <w:rPr>
      <w:rFonts w:ascii="幼圆" w:hAnsi="Times New Roman" w:eastAsia="幼圆" w:cs="幼圆"/>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623</Words>
  <Characters>3555</Characters>
  <Lines>29</Lines>
  <Paragraphs>8</Paragraphs>
  <TotalTime>2</TotalTime>
  <ScaleCrop>false</ScaleCrop>
  <LinksUpToDate>false</LinksUpToDate>
  <CharactersWithSpaces>4170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2022-02-19T00:28:16Z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C27BFEED3E6A45B5B54867764B326DA6</vt:lpwstr>
  </property>
</Properties>
</file>